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E668C" w14:textId="42E31075" w:rsidR="0038348B" w:rsidRPr="0022045F" w:rsidRDefault="009805F1" w:rsidP="00CF6F22">
      <w:pPr>
        <w:shd w:val="clear" w:color="auto" w:fill="C6D9F1" w:themeFill="text2" w:themeFillTint="33"/>
        <w:spacing w:after="0" w:line="240" w:lineRule="auto"/>
        <w:rPr>
          <w:rFonts w:ascii="Verdana" w:hAnsi="Verdana"/>
          <w:b/>
          <w:color w:val="002060"/>
          <w:sz w:val="24"/>
          <w:szCs w:val="20"/>
        </w:rPr>
      </w:pPr>
      <w:bookmarkStart w:id="0" w:name="The_ELIR_process"/>
      <w:r>
        <w:rPr>
          <w:rFonts w:ascii="Verdana" w:hAnsi="Verdana"/>
          <w:b/>
          <w:color w:val="002060"/>
          <w:sz w:val="24"/>
          <w:szCs w:val="20"/>
        </w:rPr>
        <w:t xml:space="preserve">Student Engagement </w:t>
      </w:r>
      <w:r w:rsidR="00753766">
        <w:rPr>
          <w:rFonts w:ascii="Verdana" w:hAnsi="Verdana"/>
          <w:b/>
          <w:color w:val="002060"/>
          <w:sz w:val="24"/>
          <w:szCs w:val="20"/>
        </w:rPr>
        <w:t xml:space="preserve">“what you need to do” </w:t>
      </w:r>
      <w:r>
        <w:rPr>
          <w:rFonts w:ascii="Verdana" w:hAnsi="Verdana"/>
          <w:b/>
          <w:color w:val="002060"/>
          <w:sz w:val="24"/>
          <w:szCs w:val="20"/>
        </w:rPr>
        <w:t xml:space="preserve">points within </w:t>
      </w:r>
      <w:r w:rsidR="00515808">
        <w:rPr>
          <w:rFonts w:ascii="Verdana" w:hAnsi="Verdana"/>
          <w:b/>
          <w:color w:val="002060"/>
          <w:sz w:val="24"/>
          <w:szCs w:val="20"/>
        </w:rPr>
        <w:t>t</w:t>
      </w:r>
      <w:r w:rsidR="00572DA5" w:rsidRPr="0022045F">
        <w:rPr>
          <w:rFonts w:ascii="Verdana" w:hAnsi="Verdana"/>
          <w:b/>
          <w:color w:val="002060"/>
          <w:sz w:val="24"/>
          <w:szCs w:val="20"/>
        </w:rPr>
        <w:t>he EL</w:t>
      </w:r>
      <w:bookmarkStart w:id="1" w:name="_GoBack"/>
      <w:bookmarkEnd w:id="1"/>
      <w:r w:rsidR="00572DA5" w:rsidRPr="0022045F">
        <w:rPr>
          <w:rFonts w:ascii="Verdana" w:hAnsi="Verdana"/>
          <w:b/>
          <w:color w:val="002060"/>
          <w:sz w:val="24"/>
          <w:szCs w:val="20"/>
        </w:rPr>
        <w:t>IR process</w:t>
      </w:r>
      <w:bookmarkEnd w:id="0"/>
    </w:p>
    <w:p w14:paraId="38BE9CD5" w14:textId="050C8A0F" w:rsidR="00572DA5" w:rsidRPr="001332DF" w:rsidRDefault="00572DA5" w:rsidP="00CF6F22">
      <w:pPr>
        <w:tabs>
          <w:tab w:val="left" w:pos="1701"/>
        </w:tabs>
        <w:spacing w:after="0" w:line="240" w:lineRule="auto"/>
        <w:ind w:left="-567"/>
        <w:rPr>
          <w:rFonts w:ascii="Verdana" w:eastAsia="Calibri" w:hAnsi="Verdana"/>
          <w:sz w:val="14"/>
        </w:rPr>
      </w:pPr>
    </w:p>
    <w:tbl>
      <w:tblPr>
        <w:tblStyle w:val="TableGrid"/>
        <w:tblW w:w="14717" w:type="dxa"/>
        <w:tblInd w:w="-5" w:type="dxa"/>
        <w:tblLook w:val="04A0" w:firstRow="1" w:lastRow="0" w:firstColumn="1" w:lastColumn="0" w:noHBand="0" w:noVBand="1"/>
      </w:tblPr>
      <w:tblGrid>
        <w:gridCol w:w="14717"/>
      </w:tblGrid>
      <w:tr w:rsidR="008F43D5" w:rsidRPr="00794802" w14:paraId="7E2D9FB4" w14:textId="77777777" w:rsidTr="00A00AD9">
        <w:tc>
          <w:tcPr>
            <w:tcW w:w="14717" w:type="dxa"/>
            <w:tcBorders>
              <w:top w:val="single" w:sz="24" w:space="0" w:color="002060"/>
              <w:left w:val="single" w:sz="24" w:space="0" w:color="002060"/>
              <w:bottom w:val="single" w:sz="4" w:space="0" w:color="002060"/>
              <w:right w:val="single" w:sz="24" w:space="0" w:color="002060"/>
            </w:tcBorders>
            <w:shd w:val="clear" w:color="auto" w:fill="548DD4" w:themeFill="text2" w:themeFillTint="99"/>
          </w:tcPr>
          <w:p w14:paraId="5960DA3A" w14:textId="77777777" w:rsidR="008F43D5" w:rsidRPr="0022045F" w:rsidRDefault="008F43D5" w:rsidP="00A00AD9">
            <w:pPr>
              <w:pStyle w:val="ListParagraph"/>
              <w:spacing w:after="0"/>
              <w:ind w:left="0"/>
              <w:rPr>
                <w:rFonts w:ascii="Verdana" w:hAnsi="Verdana"/>
                <w:b/>
                <w:color w:val="000000" w:themeColor="text1"/>
                <w:sz w:val="24"/>
                <w:szCs w:val="20"/>
              </w:rPr>
            </w:pPr>
            <w:r w:rsidRPr="0022045F">
              <w:rPr>
                <w:rFonts w:ascii="Verdana" w:hAnsi="Verdana"/>
                <w:b/>
                <w:color w:val="000000" w:themeColor="text1"/>
                <w:sz w:val="24"/>
                <w:szCs w:val="20"/>
              </w:rPr>
              <w:t>Early preparation and liaison with QAA Scotland</w:t>
            </w:r>
          </w:p>
          <w:p w14:paraId="342803FC" w14:textId="094490B6" w:rsidR="008F43D5" w:rsidRPr="008F43D5" w:rsidRDefault="008F43D5" w:rsidP="00A00AD9">
            <w:pPr>
              <w:pStyle w:val="ListParagraph"/>
              <w:spacing w:after="0"/>
              <w:ind w:left="0"/>
              <w:rPr>
                <w:rFonts w:ascii="Verdana" w:hAnsi="Verdana"/>
                <w:color w:val="FFFFFF" w:themeColor="background1"/>
                <w:sz w:val="24"/>
                <w:szCs w:val="20"/>
              </w:rPr>
            </w:pPr>
            <w:r w:rsidRPr="0022045F">
              <w:rPr>
                <w:rFonts w:ascii="Verdana" w:hAnsi="Verdana"/>
                <w:color w:val="000000" w:themeColor="text1"/>
                <w:sz w:val="24"/>
                <w:szCs w:val="20"/>
              </w:rPr>
              <w:t>12+ months before Review</w:t>
            </w:r>
          </w:p>
        </w:tc>
      </w:tr>
      <w:tr w:rsidR="008F43D5" w:rsidRPr="00794802" w14:paraId="3F83013C" w14:textId="77777777" w:rsidTr="00A00AD9">
        <w:tc>
          <w:tcPr>
            <w:tcW w:w="14717" w:type="dxa"/>
            <w:tcBorders>
              <w:top w:val="single" w:sz="4" w:space="0" w:color="002060"/>
              <w:left w:val="single" w:sz="4" w:space="0" w:color="002060"/>
              <w:bottom w:val="single" w:sz="4" w:space="0" w:color="002060"/>
              <w:right w:val="single" w:sz="24" w:space="0" w:color="002060"/>
            </w:tcBorders>
            <w:hideMark/>
          </w:tcPr>
          <w:p w14:paraId="49CA0942" w14:textId="77777777" w:rsidR="008F43D5" w:rsidRPr="00794802" w:rsidRDefault="008F43D5" w:rsidP="00794802">
            <w:pPr>
              <w:spacing w:after="60" w:line="240" w:lineRule="auto"/>
              <w:ind w:left="34"/>
              <w:rPr>
                <w:rFonts w:ascii="Verdana" w:hAnsi="Verdana"/>
                <w:sz w:val="8"/>
                <w:szCs w:val="20"/>
              </w:rPr>
            </w:pPr>
          </w:p>
          <w:p w14:paraId="2A0D28EE" w14:textId="5C5370CC" w:rsidR="008F43D5" w:rsidRPr="00794802" w:rsidRDefault="00D27A3C" w:rsidP="00794802">
            <w:pPr>
              <w:pStyle w:val="ListParagraph"/>
              <w:numPr>
                <w:ilvl w:val="0"/>
                <w:numId w:val="30"/>
              </w:numPr>
              <w:spacing w:after="60" w:line="240" w:lineRule="auto"/>
              <w:ind w:left="318" w:hanging="284"/>
              <w:contextualSpacing w:val="0"/>
              <w:rPr>
                <w:rFonts w:ascii="Verdana" w:hAnsi="Verdana"/>
                <w:sz w:val="20"/>
                <w:szCs w:val="20"/>
              </w:rPr>
            </w:pPr>
            <w:hyperlink w:anchor="To_do_Understand_the_process" w:history="1">
              <w:r w:rsidR="008F43D5" w:rsidRPr="00447344">
                <w:rPr>
                  <w:rStyle w:val="Hyperlink"/>
                  <w:rFonts w:ascii="Verdana" w:hAnsi="Verdana"/>
                  <w:sz w:val="20"/>
                  <w:szCs w:val="20"/>
                </w:rPr>
                <w:t>Read guidance and understand the process.</w:t>
              </w:r>
            </w:hyperlink>
          </w:p>
          <w:p w14:paraId="55E7F825" w14:textId="70B74170" w:rsidR="008F43D5" w:rsidRPr="007D0097" w:rsidRDefault="00D27A3C" w:rsidP="00794802">
            <w:pPr>
              <w:pStyle w:val="ListParagraph"/>
              <w:numPr>
                <w:ilvl w:val="0"/>
                <w:numId w:val="30"/>
              </w:numPr>
              <w:spacing w:after="60" w:line="240" w:lineRule="auto"/>
              <w:ind w:left="318" w:hanging="284"/>
              <w:contextualSpacing w:val="0"/>
              <w:rPr>
                <w:rStyle w:val="Hyperlink"/>
                <w:rFonts w:ascii="Verdana" w:hAnsi="Verdana"/>
                <w:color w:val="auto"/>
                <w:sz w:val="20"/>
                <w:szCs w:val="20"/>
                <w:u w:val="none"/>
              </w:rPr>
            </w:pPr>
            <w:hyperlink w:anchor="To_do_Understand_the_process" w:history="1">
              <w:r w:rsidR="008F43D5" w:rsidRPr="00447344">
                <w:rPr>
                  <w:rStyle w:val="Hyperlink"/>
                  <w:rFonts w:ascii="Verdana" w:hAnsi="Verdana"/>
                  <w:sz w:val="20"/>
                  <w:szCs w:val="20"/>
                </w:rPr>
                <w:t>Find out who the link QAA Scotland officer is for your institution and contact them with any questions.</w:t>
              </w:r>
            </w:hyperlink>
          </w:p>
          <w:p w14:paraId="77CCE268" w14:textId="7C99E08C" w:rsidR="008F43D5" w:rsidRPr="00CF6F22" w:rsidRDefault="008F43D5" w:rsidP="00CF6F22">
            <w:pPr>
              <w:shd w:val="clear" w:color="auto" w:fill="C6D9F1" w:themeFill="text2" w:themeFillTint="33"/>
              <w:tabs>
                <w:tab w:val="left" w:pos="1701"/>
              </w:tabs>
              <w:spacing w:before="40" w:after="40" w:line="240" w:lineRule="auto"/>
              <w:rPr>
                <w:rFonts w:ascii="Verdana" w:hAnsi="Verdana"/>
                <w:color w:val="002060"/>
                <w:sz w:val="20"/>
                <w:szCs w:val="20"/>
              </w:rPr>
            </w:pPr>
            <w:r w:rsidRPr="00CF6F22">
              <w:rPr>
                <w:rFonts w:ascii="Verdana" w:hAnsi="Verdana"/>
                <w:color w:val="002060"/>
                <w:sz w:val="20"/>
                <w:szCs w:val="20"/>
              </w:rPr>
              <w:t>ELIR is useful for every students’ association and student officer. It is essential to familiarise yourself with the ELIR guidance to understand the process and to help best understand where your role will fit in. Do ensure to provide new officer handovers and briefing throughout the cycle. This document should be used in conjunction with the QAA Scotland ELIR 4 Handbook, published in April 2017, and the Preparing for Enhancement-led Institutional Review Guide, published in September 2017. Find out who the link QAA Scotland officer is for your institution and contact them with any questions relating to your ELIR.</w:t>
            </w:r>
          </w:p>
          <w:p w14:paraId="3F277A6F" w14:textId="3A8F0F6D" w:rsidR="008F43D5" w:rsidRPr="007D0097" w:rsidRDefault="00D27A3C" w:rsidP="00794802">
            <w:pPr>
              <w:pStyle w:val="ListParagraph"/>
              <w:numPr>
                <w:ilvl w:val="0"/>
                <w:numId w:val="30"/>
              </w:numPr>
              <w:spacing w:after="60" w:line="240" w:lineRule="auto"/>
              <w:ind w:left="318" w:hanging="284"/>
              <w:contextualSpacing w:val="0"/>
              <w:rPr>
                <w:rStyle w:val="Hyperlink"/>
                <w:rFonts w:ascii="Verdana" w:hAnsi="Verdana"/>
                <w:color w:val="auto"/>
                <w:sz w:val="20"/>
                <w:szCs w:val="20"/>
                <w:u w:val="none"/>
              </w:rPr>
            </w:pPr>
            <w:hyperlink w:anchor="To_do_Map_out_key_dates" w:history="1">
              <w:r w:rsidR="008F43D5" w:rsidRPr="00447344">
                <w:rPr>
                  <w:rStyle w:val="Hyperlink"/>
                  <w:rFonts w:ascii="Verdana" w:hAnsi="Verdana"/>
                  <w:sz w:val="20"/>
                  <w:szCs w:val="20"/>
                </w:rPr>
                <w:t>Map out key dates.</w:t>
              </w:r>
            </w:hyperlink>
          </w:p>
          <w:p w14:paraId="52ADC08A" w14:textId="0A7F721D" w:rsidR="008F43D5" w:rsidRPr="00CF6F22" w:rsidRDefault="008F43D5" w:rsidP="00CF6F22">
            <w:pPr>
              <w:shd w:val="clear" w:color="auto" w:fill="C6D9F1" w:themeFill="text2" w:themeFillTint="33"/>
              <w:tabs>
                <w:tab w:val="left" w:pos="1701"/>
              </w:tabs>
              <w:spacing w:before="40" w:after="40" w:line="240" w:lineRule="auto"/>
              <w:rPr>
                <w:rFonts w:ascii="Verdana" w:hAnsi="Verdana"/>
                <w:color w:val="002060"/>
                <w:sz w:val="20"/>
                <w:szCs w:val="20"/>
              </w:rPr>
            </w:pPr>
            <w:r w:rsidRPr="00CF6F22">
              <w:rPr>
                <w:rFonts w:ascii="Verdana" w:hAnsi="Verdana"/>
                <w:color w:val="002060"/>
                <w:sz w:val="20"/>
                <w:szCs w:val="20"/>
              </w:rPr>
              <w:t>It is essential to map out all the key dates, meetings and deadlines throughout the ELIR cycle to ensure that the students’ association and officers know exactly what’s coming up. The relevant student officer for each year will support the ELIR, whether this is during the Planning or Review Visits, the preparation for the review, or the follow-up processes. Mapping out your key dates and knowing where you are in the review will determine what you will contribute to the process and what training is required, and will help you understand upcoming actions for your institution.</w:t>
            </w:r>
          </w:p>
          <w:p w14:paraId="52512C18" w14:textId="0A1CA424" w:rsidR="008F43D5" w:rsidRDefault="00D27A3C" w:rsidP="007D0097">
            <w:pPr>
              <w:pStyle w:val="ListParagraph"/>
              <w:numPr>
                <w:ilvl w:val="0"/>
                <w:numId w:val="30"/>
              </w:numPr>
              <w:spacing w:after="60" w:line="240" w:lineRule="auto"/>
              <w:ind w:left="318" w:hanging="284"/>
              <w:contextualSpacing w:val="0"/>
              <w:rPr>
                <w:rFonts w:ascii="Verdana" w:hAnsi="Verdana"/>
                <w:sz w:val="20"/>
                <w:szCs w:val="20"/>
              </w:rPr>
            </w:pPr>
            <w:hyperlink w:anchor="To_do_Utilise_existing_processes_" w:history="1">
              <w:r w:rsidR="008F43D5" w:rsidRPr="00447344">
                <w:rPr>
                  <w:rStyle w:val="Hyperlink"/>
                  <w:rFonts w:ascii="Verdana" w:hAnsi="Verdana"/>
                  <w:sz w:val="20"/>
                  <w:szCs w:val="20"/>
                </w:rPr>
                <w:t>Utilise existing processes</w:t>
              </w:r>
              <w:r w:rsidR="008F43D5" w:rsidRPr="00447344">
                <w:rPr>
                  <w:rStyle w:val="Hyperlink"/>
                  <w:rFonts w:ascii="Verdana" w:hAnsi="Verdana"/>
                  <w:sz w:val="14"/>
                  <w:szCs w:val="20"/>
                </w:rPr>
                <w:t xml:space="preserve"> </w:t>
              </w:r>
              <w:r w:rsidR="008F43D5" w:rsidRPr="00447344">
                <w:rPr>
                  <w:rStyle w:val="Hyperlink"/>
                  <w:rFonts w:ascii="Verdana" w:hAnsi="Verdana"/>
                  <w:sz w:val="20"/>
                  <w:szCs w:val="20"/>
                </w:rPr>
                <w:t>and</w:t>
              </w:r>
              <w:r w:rsidR="008F43D5" w:rsidRPr="00447344">
                <w:rPr>
                  <w:rStyle w:val="Hyperlink"/>
                  <w:rFonts w:ascii="Verdana" w:hAnsi="Verdana"/>
                  <w:sz w:val="14"/>
                  <w:szCs w:val="20"/>
                </w:rPr>
                <w:t xml:space="preserve"> </w:t>
              </w:r>
              <w:r w:rsidR="008F43D5" w:rsidRPr="00447344">
                <w:rPr>
                  <w:rStyle w:val="Hyperlink"/>
                  <w:rFonts w:ascii="Verdana" w:hAnsi="Verdana"/>
                  <w:sz w:val="20"/>
                  <w:szCs w:val="20"/>
                </w:rPr>
                <w:t>knowledge</w:t>
              </w:r>
              <w:r w:rsidR="008F43D5" w:rsidRPr="00447344">
                <w:rPr>
                  <w:rStyle w:val="Hyperlink"/>
                  <w:rFonts w:ascii="Verdana" w:hAnsi="Verdana"/>
                  <w:sz w:val="14"/>
                  <w:szCs w:val="20"/>
                </w:rPr>
                <w:t xml:space="preserve">. </w:t>
              </w:r>
            </w:hyperlink>
            <w:r w:rsidR="008F43D5" w:rsidRPr="00794802">
              <w:rPr>
                <w:rFonts w:ascii="Verdana" w:hAnsi="Verdana"/>
                <w:sz w:val="20"/>
                <w:szCs w:val="20"/>
              </w:rPr>
              <w:t xml:space="preserve"> </w:t>
            </w:r>
          </w:p>
          <w:p w14:paraId="0AD554C3" w14:textId="5E7CE779" w:rsidR="008F43D5" w:rsidRPr="007D0097" w:rsidRDefault="008F43D5" w:rsidP="00CF6F22">
            <w:pPr>
              <w:shd w:val="clear" w:color="auto" w:fill="C6D9F1" w:themeFill="text2" w:themeFillTint="33"/>
              <w:tabs>
                <w:tab w:val="left" w:pos="1701"/>
              </w:tabs>
              <w:spacing w:before="40" w:after="40" w:line="240" w:lineRule="auto"/>
              <w:rPr>
                <w:rFonts w:ascii="Verdana" w:hAnsi="Verdana"/>
                <w:color w:val="002060"/>
                <w:sz w:val="20"/>
                <w:szCs w:val="20"/>
              </w:rPr>
            </w:pPr>
            <w:r>
              <w:rPr>
                <w:rFonts w:ascii="Verdana" w:hAnsi="Verdana"/>
                <w:color w:val="002060"/>
                <w:sz w:val="20"/>
                <w:szCs w:val="20"/>
              </w:rPr>
              <w:t xml:space="preserve">ELIR </w:t>
            </w:r>
            <w:r w:rsidRPr="009F4CC7">
              <w:rPr>
                <w:rFonts w:ascii="Verdana" w:hAnsi="Verdana"/>
                <w:color w:val="002060"/>
                <w:sz w:val="20"/>
                <w:szCs w:val="20"/>
              </w:rPr>
              <w:t>presents a significant opportunity for the students’ association to influence the student experience but it is important not to create unmanageable workloads. Look at how you can build ELIR preparation into existing activities such as course rep meetings and learning and teaching events. You can also use data and knowledge you already have through your learning and teaching representative activities</w:t>
            </w:r>
            <w:r>
              <w:rPr>
                <w:rFonts w:ascii="Verdana" w:hAnsi="Verdana"/>
                <w:color w:val="002060"/>
                <w:sz w:val="20"/>
                <w:szCs w:val="20"/>
              </w:rPr>
              <w:t>,</w:t>
            </w:r>
            <w:r w:rsidRPr="009F4CC7">
              <w:rPr>
                <w:rFonts w:ascii="Verdana" w:hAnsi="Verdana"/>
                <w:color w:val="002060"/>
                <w:sz w:val="20"/>
                <w:szCs w:val="20"/>
              </w:rPr>
              <w:t xml:space="preserve"> including your Student Partnership Agreement (SPA). In the early stages of an ELIR you should concentrate on identifying gaps in your understanding of the student experience, especially where these relate to emerging themes</w:t>
            </w:r>
            <w:r>
              <w:rPr>
                <w:rFonts w:ascii="Verdana" w:hAnsi="Verdana"/>
                <w:color w:val="002060"/>
                <w:sz w:val="20"/>
                <w:szCs w:val="20"/>
              </w:rPr>
              <w:t>,</w:t>
            </w:r>
            <w:r w:rsidRPr="009F4CC7">
              <w:rPr>
                <w:rFonts w:ascii="Verdana" w:hAnsi="Verdana"/>
                <w:color w:val="002060"/>
                <w:sz w:val="20"/>
                <w:szCs w:val="20"/>
              </w:rPr>
              <w:t xml:space="preserve"> and concentrate additional activity in these areas.</w:t>
            </w:r>
          </w:p>
          <w:p w14:paraId="15985A90" w14:textId="5FB7CF9A" w:rsidR="008F43D5" w:rsidRPr="007D0097" w:rsidRDefault="00D27A3C" w:rsidP="00794802">
            <w:pPr>
              <w:pStyle w:val="ListParagraph"/>
              <w:numPr>
                <w:ilvl w:val="0"/>
                <w:numId w:val="30"/>
              </w:numPr>
              <w:spacing w:after="60" w:line="240" w:lineRule="auto"/>
              <w:ind w:left="318" w:hanging="284"/>
              <w:contextualSpacing w:val="0"/>
              <w:rPr>
                <w:rStyle w:val="Hyperlink"/>
                <w:rFonts w:ascii="Verdana" w:hAnsi="Verdana"/>
                <w:color w:val="auto"/>
                <w:sz w:val="20"/>
                <w:szCs w:val="20"/>
                <w:u w:val="none"/>
              </w:rPr>
            </w:pPr>
            <w:hyperlink w:anchor="To_do_Familiarise_with_key_strategic_" w:history="1">
              <w:r w:rsidR="008F43D5" w:rsidRPr="00447344">
                <w:rPr>
                  <w:rStyle w:val="Hyperlink"/>
                  <w:rFonts w:ascii="Verdana" w:hAnsi="Verdana"/>
                  <w:sz w:val="20"/>
                  <w:szCs w:val="20"/>
                </w:rPr>
                <w:t>Familiarise yourself with key strategic documents including your previous ELIR report.</w:t>
              </w:r>
            </w:hyperlink>
          </w:p>
          <w:p w14:paraId="1851F730" w14:textId="1B84A16A" w:rsidR="00DA25B7" w:rsidRPr="00CF6F22" w:rsidRDefault="008F43D5" w:rsidP="00CF6F22">
            <w:pPr>
              <w:shd w:val="clear" w:color="auto" w:fill="C6D9F1" w:themeFill="text2" w:themeFillTint="33"/>
              <w:tabs>
                <w:tab w:val="left" w:pos="1701"/>
              </w:tabs>
              <w:spacing w:before="40" w:after="40" w:line="240" w:lineRule="auto"/>
              <w:rPr>
                <w:rFonts w:ascii="Verdana" w:hAnsi="Verdana"/>
                <w:color w:val="002060"/>
                <w:sz w:val="20"/>
                <w:szCs w:val="20"/>
              </w:rPr>
            </w:pPr>
            <w:r w:rsidRPr="00CF6F22">
              <w:rPr>
                <w:rFonts w:ascii="Verdana" w:hAnsi="Verdana"/>
                <w:color w:val="002060"/>
                <w:sz w:val="20"/>
                <w:szCs w:val="20"/>
              </w:rPr>
              <w:t>It is important to read and understand your previous ELIR report. These can be found on the QAA Scotland website and will highlight prior learning and teaching strategies, institutional priorities and what students said. It is vital to be familiar with the outcomes and how they can influence the institution’s learning and teaching strategy. It is also useful to consider how far progress has been made against your last report and where the institution could progress next. Do enquire about how your institution is acting on the outcomes of their previous ELIR. Other key documents to familiarise yourself with include the ELIR 3 Follow-up Report, your institution’s learning and teaching strategy and Outcome Agreement.</w:t>
            </w:r>
          </w:p>
          <w:p w14:paraId="10D7064E" w14:textId="2DAF7635" w:rsidR="008F43D5" w:rsidRPr="007D0097" w:rsidRDefault="00D27A3C" w:rsidP="00794802">
            <w:pPr>
              <w:pStyle w:val="ListParagraph"/>
              <w:numPr>
                <w:ilvl w:val="0"/>
                <w:numId w:val="30"/>
              </w:numPr>
              <w:spacing w:after="60" w:line="240" w:lineRule="auto"/>
              <w:ind w:left="318" w:hanging="284"/>
              <w:contextualSpacing w:val="0"/>
              <w:rPr>
                <w:rStyle w:val="Hyperlink"/>
                <w:rFonts w:ascii="Verdana" w:hAnsi="Verdana"/>
                <w:color w:val="auto"/>
                <w:sz w:val="20"/>
                <w:szCs w:val="20"/>
                <w:u w:val="none"/>
              </w:rPr>
            </w:pPr>
            <w:hyperlink w:anchor="To_do_Agree_the_mechanisms_" w:history="1">
              <w:r w:rsidR="008F43D5" w:rsidRPr="00160622">
                <w:rPr>
                  <w:rStyle w:val="Hyperlink"/>
                  <w:rFonts w:ascii="Verdana" w:hAnsi="Verdana"/>
                  <w:sz w:val="20"/>
                  <w:szCs w:val="20"/>
                </w:rPr>
                <w:t>Agree the mechanisms for students’ association involvement and support in ELIR.</w:t>
              </w:r>
            </w:hyperlink>
          </w:p>
          <w:p w14:paraId="091BFDAB" w14:textId="61149103" w:rsidR="008F43D5" w:rsidRPr="007D0097" w:rsidRDefault="008F43D5" w:rsidP="007D0097">
            <w:pPr>
              <w:shd w:val="clear" w:color="auto" w:fill="C6D9F1" w:themeFill="text2" w:themeFillTint="33"/>
              <w:tabs>
                <w:tab w:val="left" w:pos="1701"/>
              </w:tabs>
              <w:spacing w:before="40" w:after="40" w:line="240" w:lineRule="auto"/>
              <w:rPr>
                <w:rFonts w:ascii="Verdana" w:hAnsi="Verdana"/>
                <w:color w:val="002060"/>
                <w:sz w:val="20"/>
                <w:szCs w:val="20"/>
              </w:rPr>
            </w:pPr>
            <w:r w:rsidRPr="00E56D0D">
              <w:rPr>
                <w:rFonts w:ascii="Verdana" w:hAnsi="Verdana"/>
                <w:color w:val="002060"/>
                <w:sz w:val="20"/>
                <w:szCs w:val="20"/>
              </w:rPr>
              <w:t>Each institution approaches ELIR in its own way and you may find that different groups of staff and students are engaged at e</w:t>
            </w:r>
            <w:r>
              <w:rPr>
                <w:rFonts w:ascii="Verdana" w:hAnsi="Verdana"/>
                <w:color w:val="002060"/>
                <w:sz w:val="20"/>
                <w:szCs w:val="20"/>
              </w:rPr>
              <w:t>ach stage of the ELIR process. However, in most institutions</w:t>
            </w:r>
            <w:r w:rsidRPr="00E56D0D">
              <w:rPr>
                <w:rFonts w:ascii="Verdana" w:hAnsi="Verdana"/>
                <w:color w:val="002060"/>
                <w:sz w:val="20"/>
                <w:szCs w:val="20"/>
              </w:rPr>
              <w:t xml:space="preserve">, there will be an </w:t>
            </w:r>
            <w:r w:rsidRPr="00E56D0D">
              <w:rPr>
                <w:rFonts w:ascii="Verdana" w:hAnsi="Verdana"/>
                <w:b/>
                <w:color w:val="002060"/>
                <w:sz w:val="20"/>
                <w:szCs w:val="20"/>
              </w:rPr>
              <w:t>ELIR steering/working group</w:t>
            </w:r>
            <w:r w:rsidRPr="00E56D0D">
              <w:rPr>
                <w:rFonts w:ascii="Verdana" w:hAnsi="Verdana"/>
                <w:color w:val="002060"/>
                <w:sz w:val="20"/>
                <w:szCs w:val="20"/>
              </w:rPr>
              <w:t xml:space="preserve"> which is responsible for preparing for the review. It is normal practice for students (usually a sabbatical officer) and a students’ association staff member to sit on this group. This group might also include the Vice-Principal for Learning and Teaching, some senior academics and representatives from Quality or Registry. You should be able to identify a key contact within the institution who will liaise with the students’ association to ensure that your contribution is effective. Make contact with this person early on and maintain ongoing discussions about how you will be involved. Try to establish what the institution </w:t>
            </w:r>
            <w:r w:rsidRPr="00E56D0D">
              <w:rPr>
                <w:rFonts w:ascii="Verdana" w:hAnsi="Verdana"/>
                <w:color w:val="002060"/>
                <w:sz w:val="20"/>
                <w:szCs w:val="20"/>
              </w:rPr>
              <w:lastRenderedPageBreak/>
              <w:t xml:space="preserve">will be doing to support staff in </w:t>
            </w:r>
            <w:r>
              <w:rPr>
                <w:rFonts w:ascii="Verdana" w:hAnsi="Verdana"/>
                <w:color w:val="002060"/>
                <w:sz w:val="20"/>
                <w:szCs w:val="20"/>
              </w:rPr>
              <w:t xml:space="preserve">engaging with ELIR. For example, </w:t>
            </w:r>
            <w:r w:rsidRPr="00E56D0D">
              <w:rPr>
                <w:rFonts w:ascii="Verdana" w:hAnsi="Verdana"/>
                <w:color w:val="002060"/>
                <w:sz w:val="20"/>
                <w:szCs w:val="20"/>
              </w:rPr>
              <w:t xml:space="preserve">will they be providing any </w:t>
            </w:r>
            <w:r>
              <w:rPr>
                <w:rFonts w:ascii="Verdana" w:hAnsi="Verdana"/>
                <w:color w:val="002060"/>
                <w:sz w:val="20"/>
                <w:szCs w:val="20"/>
              </w:rPr>
              <w:t xml:space="preserve">training or briefing sessions? </w:t>
            </w:r>
            <w:r w:rsidRPr="00E56D0D">
              <w:rPr>
                <w:rFonts w:ascii="Verdana" w:hAnsi="Verdana"/>
                <w:color w:val="002060"/>
                <w:sz w:val="20"/>
                <w:szCs w:val="20"/>
              </w:rPr>
              <w:t>Discuss whether or not this support will be made available to yourself, key students’ association staff and students and whether or not you need to plan additional training.</w:t>
            </w:r>
          </w:p>
          <w:p w14:paraId="24199676" w14:textId="3616DD6B" w:rsidR="008F43D5" w:rsidRPr="007D0097" w:rsidRDefault="00D27A3C" w:rsidP="00794802">
            <w:pPr>
              <w:pStyle w:val="ListParagraph"/>
              <w:numPr>
                <w:ilvl w:val="0"/>
                <w:numId w:val="30"/>
              </w:numPr>
              <w:spacing w:after="60" w:line="240" w:lineRule="auto"/>
              <w:ind w:left="318" w:hanging="284"/>
              <w:contextualSpacing w:val="0"/>
              <w:rPr>
                <w:rStyle w:val="Hyperlink"/>
                <w:rFonts w:ascii="Verdana" w:hAnsi="Verdana"/>
                <w:color w:val="auto"/>
                <w:sz w:val="20"/>
                <w:szCs w:val="20"/>
                <w:u w:val="none"/>
              </w:rPr>
            </w:pPr>
            <w:hyperlink w:anchor="To_do_Consider_your_ELIR_timeline" w:history="1">
              <w:r w:rsidR="008F43D5" w:rsidRPr="00160622">
                <w:rPr>
                  <w:rStyle w:val="Hyperlink"/>
                  <w:rFonts w:ascii="Verdana" w:hAnsi="Verdana"/>
                  <w:sz w:val="20"/>
                  <w:szCs w:val="20"/>
                </w:rPr>
                <w:t>Consider your ELIR timeline, agree roles and responsibilities and who will be involved.</w:t>
              </w:r>
            </w:hyperlink>
          </w:p>
          <w:p w14:paraId="080B6F9D" w14:textId="554A08BD" w:rsidR="008F43D5" w:rsidRPr="007D0097" w:rsidRDefault="008F43D5" w:rsidP="007D0097">
            <w:pPr>
              <w:shd w:val="clear" w:color="auto" w:fill="C6D9F1" w:themeFill="text2" w:themeFillTint="33"/>
              <w:tabs>
                <w:tab w:val="left" w:pos="1701"/>
              </w:tabs>
              <w:spacing w:before="40" w:after="40" w:line="240" w:lineRule="auto"/>
              <w:rPr>
                <w:rFonts w:ascii="Verdana" w:hAnsi="Verdana"/>
                <w:color w:val="002060"/>
                <w:sz w:val="20"/>
                <w:szCs w:val="20"/>
              </w:rPr>
            </w:pPr>
            <w:r w:rsidRPr="00E56D0D">
              <w:rPr>
                <w:rFonts w:ascii="Verdana" w:hAnsi="Verdana"/>
                <w:color w:val="002060"/>
                <w:sz w:val="20"/>
                <w:szCs w:val="20"/>
              </w:rPr>
              <w:t>It is vital for student officers and the students’ associations to know when the different stages of the ELIR process are occurring and to allocate adequate time and resources. It is important to bear in mind that the review process doesn’t just run over one year. All officers should know what their role in ELIR will be during their term of office. Some officers will be involved in the preparation</w:t>
            </w:r>
            <w:r>
              <w:rPr>
                <w:rFonts w:ascii="Verdana" w:hAnsi="Verdana"/>
                <w:color w:val="002060"/>
                <w:sz w:val="20"/>
                <w:szCs w:val="20"/>
              </w:rPr>
              <w:t>,</w:t>
            </w:r>
            <w:r w:rsidRPr="00E56D0D">
              <w:rPr>
                <w:rFonts w:ascii="Verdana" w:hAnsi="Verdana"/>
                <w:color w:val="002060"/>
                <w:sz w:val="20"/>
                <w:szCs w:val="20"/>
              </w:rPr>
              <w:t xml:space="preserve"> whereas others will be involved in </w:t>
            </w:r>
            <w:r>
              <w:rPr>
                <w:rFonts w:ascii="Verdana" w:hAnsi="Verdana"/>
                <w:color w:val="002060"/>
                <w:sz w:val="20"/>
                <w:szCs w:val="20"/>
              </w:rPr>
              <w:t>the review itself or the follow-</w:t>
            </w:r>
            <w:r w:rsidRPr="00E56D0D">
              <w:rPr>
                <w:rFonts w:ascii="Verdana" w:hAnsi="Verdana"/>
                <w:color w:val="002060"/>
                <w:sz w:val="20"/>
                <w:szCs w:val="20"/>
              </w:rPr>
              <w:t>up processes. Students’ associations and officers will need to consider briefing and handovers for incoming officers throughout the process. Think about who will be involved early on. Although the main responsibility may fall within the remit of the education officer and the supporting staff member, the preparations will be most successful if there is engagement from a wide range of people in the students’ association. Particular attention should be paid to involvi</w:t>
            </w:r>
            <w:r>
              <w:rPr>
                <w:rFonts w:ascii="Verdana" w:hAnsi="Verdana"/>
                <w:color w:val="002060"/>
                <w:sz w:val="20"/>
                <w:szCs w:val="20"/>
              </w:rPr>
              <w:t>ng your executive team, school/faculty o</w:t>
            </w:r>
            <w:r w:rsidRPr="00E56D0D">
              <w:rPr>
                <w:rFonts w:ascii="Verdana" w:hAnsi="Verdana"/>
                <w:color w:val="002060"/>
                <w:sz w:val="20"/>
                <w:szCs w:val="20"/>
              </w:rPr>
              <w:t>fficers and course reps.</w:t>
            </w:r>
          </w:p>
          <w:p w14:paraId="04ADE238" w14:textId="3BD0D4B4" w:rsidR="008F43D5" w:rsidRPr="007D0097" w:rsidRDefault="00D27A3C" w:rsidP="00794802">
            <w:pPr>
              <w:pStyle w:val="ListParagraph"/>
              <w:numPr>
                <w:ilvl w:val="0"/>
                <w:numId w:val="30"/>
              </w:numPr>
              <w:spacing w:after="60" w:line="240" w:lineRule="auto"/>
              <w:ind w:left="318" w:hanging="284"/>
              <w:contextualSpacing w:val="0"/>
              <w:rPr>
                <w:rStyle w:val="Hyperlink"/>
                <w:rFonts w:ascii="Verdana" w:hAnsi="Verdana"/>
                <w:color w:val="auto"/>
                <w:sz w:val="20"/>
                <w:szCs w:val="20"/>
                <w:u w:val="none"/>
              </w:rPr>
            </w:pPr>
            <w:hyperlink w:anchor="To_do_Think_about_SE" w:history="1">
              <w:r w:rsidR="008F43D5" w:rsidRPr="00160622">
                <w:rPr>
                  <w:rStyle w:val="Hyperlink"/>
                  <w:rFonts w:ascii="Verdana" w:hAnsi="Verdana"/>
                  <w:sz w:val="20"/>
                  <w:szCs w:val="20"/>
                </w:rPr>
                <w:t>Think about existing student engagement activities/gaps.</w:t>
              </w:r>
            </w:hyperlink>
          </w:p>
          <w:p w14:paraId="0BB1343B" w14:textId="4AEA41B5" w:rsidR="008F43D5" w:rsidRPr="007D0097" w:rsidRDefault="008F43D5" w:rsidP="00CF6F22">
            <w:pPr>
              <w:shd w:val="clear" w:color="auto" w:fill="C6D9F1" w:themeFill="text2" w:themeFillTint="33"/>
              <w:tabs>
                <w:tab w:val="left" w:pos="1701"/>
              </w:tabs>
              <w:spacing w:before="40" w:after="40" w:line="240" w:lineRule="auto"/>
              <w:rPr>
                <w:rFonts w:ascii="Verdana" w:hAnsi="Verdana"/>
                <w:color w:val="002060"/>
                <w:sz w:val="20"/>
                <w:szCs w:val="20"/>
              </w:rPr>
            </w:pPr>
            <w:r w:rsidRPr="00E56D0D">
              <w:rPr>
                <w:rFonts w:ascii="Verdana" w:hAnsi="Verdana"/>
                <w:color w:val="002060"/>
                <w:sz w:val="20"/>
                <w:szCs w:val="20"/>
              </w:rPr>
              <w:t>Student engagement is a significant focus of ELIR, both its effectiveness at an institutional level and engagement in the ELIR process itself. It’s useful to begin thinking about the ways that you can engage/demonstrate engagement with the wider student community</w:t>
            </w:r>
            <w:r>
              <w:rPr>
                <w:rFonts w:ascii="Verdana" w:hAnsi="Verdana"/>
                <w:color w:val="002060"/>
                <w:sz w:val="20"/>
                <w:szCs w:val="20"/>
              </w:rPr>
              <w:t>,</w:t>
            </w:r>
            <w:r w:rsidRPr="00E56D0D">
              <w:rPr>
                <w:rFonts w:ascii="Verdana" w:hAnsi="Verdana"/>
                <w:color w:val="002060"/>
                <w:sz w:val="20"/>
                <w:szCs w:val="20"/>
              </w:rPr>
              <w:t xml:space="preserve"> e.g. events, worksh</w:t>
            </w:r>
            <w:r>
              <w:rPr>
                <w:rFonts w:ascii="Verdana" w:hAnsi="Verdana"/>
                <w:color w:val="002060"/>
                <w:sz w:val="20"/>
                <w:szCs w:val="20"/>
              </w:rPr>
              <w:t xml:space="preserve">ops, focus groups, social media; </w:t>
            </w:r>
            <w:r w:rsidRPr="00E56D0D">
              <w:rPr>
                <w:rFonts w:ascii="Verdana" w:hAnsi="Verdana"/>
                <w:color w:val="002060"/>
                <w:sz w:val="20"/>
                <w:szCs w:val="20"/>
              </w:rPr>
              <w:t>but remember to utilise existing processes and knowledge as well. In addition, consider how you demonstrate student engagement at a strategic level. Do you use Student Partnership Agreements or equivalent strategic plans? Are students formally included in strategic processes</w:t>
            </w:r>
            <w:r>
              <w:rPr>
                <w:rFonts w:ascii="Verdana" w:hAnsi="Verdana"/>
                <w:color w:val="002060"/>
                <w:sz w:val="20"/>
                <w:szCs w:val="20"/>
              </w:rPr>
              <w:t xml:space="preserve"> (i</w:t>
            </w:r>
            <w:r w:rsidRPr="00E56D0D">
              <w:rPr>
                <w:rFonts w:ascii="Verdana" w:hAnsi="Verdana"/>
                <w:color w:val="002060"/>
                <w:sz w:val="20"/>
                <w:szCs w:val="20"/>
              </w:rPr>
              <w:t>ncluding ELIR</w:t>
            </w:r>
            <w:r>
              <w:rPr>
                <w:rFonts w:ascii="Verdana" w:hAnsi="Verdana"/>
                <w:color w:val="002060"/>
                <w:sz w:val="20"/>
                <w:szCs w:val="20"/>
              </w:rPr>
              <w:t>)</w:t>
            </w:r>
            <w:r w:rsidRPr="00E56D0D">
              <w:rPr>
                <w:rFonts w:ascii="Verdana" w:hAnsi="Verdana"/>
                <w:color w:val="002060"/>
                <w:sz w:val="20"/>
                <w:szCs w:val="20"/>
              </w:rPr>
              <w:t xml:space="preserve"> through student committees and partnership between the students’ association and institution? Are there areas for development? Could these arrangements be improved? </w:t>
            </w:r>
          </w:p>
          <w:p w14:paraId="6DC04061" w14:textId="7C925F39" w:rsidR="008F43D5" w:rsidRPr="0038348B" w:rsidRDefault="00D27A3C" w:rsidP="00794802">
            <w:pPr>
              <w:pStyle w:val="ListParagraph"/>
              <w:numPr>
                <w:ilvl w:val="0"/>
                <w:numId w:val="30"/>
              </w:numPr>
              <w:spacing w:after="0" w:line="240" w:lineRule="auto"/>
              <w:ind w:left="318" w:hanging="284"/>
              <w:rPr>
                <w:rStyle w:val="Hyperlink"/>
                <w:rFonts w:ascii="Verdana" w:hAnsi="Verdana"/>
                <w:color w:val="auto"/>
                <w:sz w:val="20"/>
                <w:szCs w:val="20"/>
                <w:u w:val="none"/>
              </w:rPr>
            </w:pPr>
            <w:hyperlink w:anchor="To_do_Contribute_to_early_dicussions_" w:history="1">
              <w:r w:rsidR="008F43D5">
                <w:rPr>
                  <w:rStyle w:val="Hyperlink"/>
                  <w:rFonts w:ascii="Verdana" w:hAnsi="Verdana"/>
                  <w:sz w:val="20"/>
                  <w:szCs w:val="20"/>
                </w:rPr>
                <w:t>Contribute to discussion on key themes and make-up of review team.</w:t>
              </w:r>
            </w:hyperlink>
          </w:p>
          <w:p w14:paraId="1DCC3E69" w14:textId="17686BBE" w:rsidR="008F43D5" w:rsidRPr="007D0097" w:rsidRDefault="008F43D5" w:rsidP="00CF6F22">
            <w:pPr>
              <w:shd w:val="clear" w:color="auto" w:fill="C6D9F1" w:themeFill="text2" w:themeFillTint="33"/>
              <w:tabs>
                <w:tab w:val="left" w:pos="1701"/>
              </w:tabs>
              <w:spacing w:before="40" w:after="40" w:line="240" w:lineRule="auto"/>
              <w:rPr>
                <w:rFonts w:ascii="Verdana" w:hAnsi="Verdana"/>
                <w:color w:val="002060"/>
                <w:sz w:val="20"/>
                <w:szCs w:val="20"/>
              </w:rPr>
            </w:pPr>
            <w:r w:rsidRPr="00E56D0D">
              <w:rPr>
                <w:rFonts w:ascii="Verdana" w:hAnsi="Verdana"/>
                <w:color w:val="002060"/>
                <w:sz w:val="20"/>
                <w:szCs w:val="20"/>
              </w:rPr>
              <w:t>The contextualisation of ELIR is a particular focus of ELIR</w:t>
            </w:r>
            <w:r>
              <w:rPr>
                <w:rFonts w:ascii="Verdana" w:hAnsi="Verdana"/>
                <w:color w:val="002060"/>
                <w:sz w:val="20"/>
                <w:szCs w:val="20"/>
              </w:rPr>
              <w:t xml:space="preserve"> </w:t>
            </w:r>
            <w:r w:rsidRPr="00E56D0D">
              <w:rPr>
                <w:rFonts w:ascii="Verdana" w:hAnsi="Verdana"/>
                <w:color w:val="002060"/>
                <w:sz w:val="20"/>
                <w:szCs w:val="20"/>
              </w:rPr>
              <w:t xml:space="preserve">4. It is vital that you are involved in early discussions on what the key themes might be. There is also more flexibility over the make-up of the review panel. Consider whether you feel an international reviewer or second student reviewer would be useful to the review process. </w:t>
            </w:r>
          </w:p>
        </w:tc>
      </w:tr>
      <w:tr w:rsidR="0022045F" w:rsidRPr="00794802" w14:paraId="19439158" w14:textId="77777777" w:rsidTr="00A00AD9">
        <w:tc>
          <w:tcPr>
            <w:tcW w:w="14717" w:type="dxa"/>
            <w:tcBorders>
              <w:top w:val="single" w:sz="4" w:space="0" w:color="002060"/>
              <w:left w:val="single" w:sz="4" w:space="0" w:color="002060"/>
              <w:bottom w:val="single" w:sz="4" w:space="0" w:color="002060"/>
              <w:right w:val="single" w:sz="24" w:space="0" w:color="002060"/>
            </w:tcBorders>
          </w:tcPr>
          <w:p w14:paraId="46CF5140" w14:textId="77777777" w:rsidR="0022045F" w:rsidRDefault="0022045F" w:rsidP="00794802">
            <w:pPr>
              <w:spacing w:after="60" w:line="240" w:lineRule="auto"/>
              <w:ind w:left="34"/>
              <w:rPr>
                <w:rFonts w:ascii="Verdana" w:hAnsi="Verdana"/>
                <w:sz w:val="8"/>
                <w:szCs w:val="20"/>
              </w:rPr>
            </w:pPr>
          </w:p>
          <w:p w14:paraId="5D320E4B" w14:textId="77777777" w:rsidR="00A00AD9" w:rsidRDefault="00A00AD9" w:rsidP="00794802">
            <w:pPr>
              <w:spacing w:after="60" w:line="240" w:lineRule="auto"/>
              <w:ind w:left="34"/>
              <w:rPr>
                <w:rFonts w:ascii="Verdana" w:hAnsi="Verdana"/>
                <w:sz w:val="8"/>
                <w:szCs w:val="20"/>
              </w:rPr>
            </w:pPr>
          </w:p>
          <w:p w14:paraId="1BEE335C" w14:textId="77777777" w:rsidR="00A00AD9" w:rsidRDefault="00A00AD9" w:rsidP="00794802">
            <w:pPr>
              <w:spacing w:after="60" w:line="240" w:lineRule="auto"/>
              <w:ind w:left="34"/>
              <w:rPr>
                <w:rFonts w:ascii="Verdana" w:hAnsi="Verdana"/>
                <w:sz w:val="8"/>
                <w:szCs w:val="20"/>
              </w:rPr>
            </w:pPr>
          </w:p>
          <w:p w14:paraId="3CB1D463" w14:textId="26A90AE2" w:rsidR="00A00AD9" w:rsidRDefault="00A00AD9" w:rsidP="00794802">
            <w:pPr>
              <w:spacing w:after="60" w:line="240" w:lineRule="auto"/>
              <w:ind w:left="34"/>
              <w:rPr>
                <w:rFonts w:ascii="Verdana" w:hAnsi="Verdana"/>
                <w:sz w:val="8"/>
                <w:szCs w:val="20"/>
              </w:rPr>
            </w:pPr>
          </w:p>
          <w:p w14:paraId="3E133646" w14:textId="021601C9" w:rsidR="00A00AD9" w:rsidRDefault="00A00AD9" w:rsidP="00794802">
            <w:pPr>
              <w:spacing w:after="60" w:line="240" w:lineRule="auto"/>
              <w:ind w:left="34"/>
              <w:rPr>
                <w:rFonts w:ascii="Verdana" w:hAnsi="Verdana"/>
                <w:sz w:val="8"/>
                <w:szCs w:val="20"/>
              </w:rPr>
            </w:pPr>
          </w:p>
          <w:p w14:paraId="214F3425" w14:textId="769024CA" w:rsidR="00A00AD9" w:rsidRDefault="00A00AD9" w:rsidP="00794802">
            <w:pPr>
              <w:spacing w:after="60" w:line="240" w:lineRule="auto"/>
              <w:ind w:left="34"/>
              <w:rPr>
                <w:rFonts w:ascii="Verdana" w:hAnsi="Verdana"/>
                <w:sz w:val="8"/>
                <w:szCs w:val="20"/>
              </w:rPr>
            </w:pPr>
          </w:p>
          <w:p w14:paraId="12E056D1" w14:textId="436F4619" w:rsidR="00A00AD9" w:rsidRDefault="00A00AD9" w:rsidP="00794802">
            <w:pPr>
              <w:spacing w:after="60" w:line="240" w:lineRule="auto"/>
              <w:ind w:left="34"/>
              <w:rPr>
                <w:rFonts w:ascii="Verdana" w:hAnsi="Verdana"/>
                <w:sz w:val="8"/>
                <w:szCs w:val="20"/>
              </w:rPr>
            </w:pPr>
          </w:p>
          <w:p w14:paraId="1EE11370" w14:textId="77777777" w:rsidR="00A00AD9" w:rsidRDefault="00A00AD9" w:rsidP="00794802">
            <w:pPr>
              <w:spacing w:after="60" w:line="240" w:lineRule="auto"/>
              <w:ind w:left="34"/>
              <w:rPr>
                <w:rFonts w:ascii="Verdana" w:hAnsi="Verdana"/>
                <w:sz w:val="8"/>
                <w:szCs w:val="20"/>
              </w:rPr>
            </w:pPr>
          </w:p>
          <w:p w14:paraId="2AE233D5" w14:textId="77777777" w:rsidR="00A00AD9" w:rsidRDefault="00A00AD9" w:rsidP="00794802">
            <w:pPr>
              <w:spacing w:after="60" w:line="240" w:lineRule="auto"/>
              <w:ind w:left="34"/>
              <w:rPr>
                <w:rFonts w:ascii="Verdana" w:hAnsi="Verdana"/>
                <w:sz w:val="8"/>
                <w:szCs w:val="20"/>
              </w:rPr>
            </w:pPr>
          </w:p>
          <w:p w14:paraId="6CA24BE9" w14:textId="77777777" w:rsidR="00A00AD9" w:rsidRDefault="00A00AD9" w:rsidP="00794802">
            <w:pPr>
              <w:spacing w:after="60" w:line="240" w:lineRule="auto"/>
              <w:ind w:left="34"/>
              <w:rPr>
                <w:rFonts w:ascii="Verdana" w:hAnsi="Verdana"/>
                <w:sz w:val="8"/>
                <w:szCs w:val="20"/>
              </w:rPr>
            </w:pPr>
          </w:p>
          <w:p w14:paraId="26406812" w14:textId="77777777" w:rsidR="00A00AD9" w:rsidRDefault="00A00AD9" w:rsidP="00794802">
            <w:pPr>
              <w:spacing w:after="60" w:line="240" w:lineRule="auto"/>
              <w:ind w:left="34"/>
              <w:rPr>
                <w:rFonts w:ascii="Verdana" w:hAnsi="Verdana"/>
                <w:sz w:val="8"/>
                <w:szCs w:val="20"/>
              </w:rPr>
            </w:pPr>
          </w:p>
          <w:p w14:paraId="66D838FA" w14:textId="77777777" w:rsidR="00A00AD9" w:rsidRDefault="00A00AD9" w:rsidP="00794802">
            <w:pPr>
              <w:spacing w:after="60" w:line="240" w:lineRule="auto"/>
              <w:ind w:left="34"/>
              <w:rPr>
                <w:rFonts w:ascii="Verdana" w:hAnsi="Verdana"/>
                <w:sz w:val="8"/>
                <w:szCs w:val="20"/>
              </w:rPr>
            </w:pPr>
          </w:p>
          <w:p w14:paraId="1EADFE74" w14:textId="77777777" w:rsidR="00A00AD9" w:rsidRDefault="00A00AD9" w:rsidP="00794802">
            <w:pPr>
              <w:spacing w:after="60" w:line="240" w:lineRule="auto"/>
              <w:ind w:left="34"/>
              <w:rPr>
                <w:rFonts w:ascii="Verdana" w:hAnsi="Verdana"/>
                <w:sz w:val="8"/>
                <w:szCs w:val="20"/>
              </w:rPr>
            </w:pPr>
          </w:p>
          <w:p w14:paraId="7E34F5CF" w14:textId="77777777" w:rsidR="00A00AD9" w:rsidRDefault="00A00AD9" w:rsidP="00794802">
            <w:pPr>
              <w:spacing w:after="60" w:line="240" w:lineRule="auto"/>
              <w:ind w:left="34"/>
              <w:rPr>
                <w:rFonts w:ascii="Verdana" w:hAnsi="Verdana"/>
                <w:sz w:val="8"/>
                <w:szCs w:val="20"/>
              </w:rPr>
            </w:pPr>
          </w:p>
          <w:p w14:paraId="7FCBBDE3" w14:textId="77777777" w:rsidR="00A00AD9" w:rsidRDefault="00A00AD9" w:rsidP="00794802">
            <w:pPr>
              <w:spacing w:after="60" w:line="240" w:lineRule="auto"/>
              <w:ind w:left="34"/>
              <w:rPr>
                <w:rFonts w:ascii="Verdana" w:hAnsi="Verdana"/>
                <w:sz w:val="8"/>
                <w:szCs w:val="20"/>
              </w:rPr>
            </w:pPr>
          </w:p>
          <w:p w14:paraId="389B7EBB" w14:textId="77777777" w:rsidR="00A00AD9" w:rsidRDefault="00A00AD9" w:rsidP="00794802">
            <w:pPr>
              <w:spacing w:after="60" w:line="240" w:lineRule="auto"/>
              <w:ind w:left="34"/>
              <w:rPr>
                <w:rFonts w:ascii="Verdana" w:hAnsi="Verdana"/>
                <w:sz w:val="8"/>
                <w:szCs w:val="20"/>
              </w:rPr>
            </w:pPr>
          </w:p>
          <w:p w14:paraId="49001CB3" w14:textId="77777777" w:rsidR="00A00AD9" w:rsidRDefault="00A00AD9" w:rsidP="00794802">
            <w:pPr>
              <w:spacing w:after="60" w:line="240" w:lineRule="auto"/>
              <w:ind w:left="34"/>
              <w:rPr>
                <w:rFonts w:ascii="Verdana" w:hAnsi="Verdana"/>
                <w:sz w:val="8"/>
                <w:szCs w:val="20"/>
              </w:rPr>
            </w:pPr>
          </w:p>
          <w:p w14:paraId="2424025E" w14:textId="77777777" w:rsidR="00A00AD9" w:rsidRDefault="00A00AD9" w:rsidP="00794802">
            <w:pPr>
              <w:spacing w:after="60" w:line="240" w:lineRule="auto"/>
              <w:ind w:left="34"/>
              <w:rPr>
                <w:rFonts w:ascii="Verdana" w:hAnsi="Verdana"/>
                <w:sz w:val="8"/>
                <w:szCs w:val="20"/>
              </w:rPr>
            </w:pPr>
          </w:p>
          <w:p w14:paraId="65215881" w14:textId="77777777" w:rsidR="00A00AD9" w:rsidRDefault="00A00AD9" w:rsidP="00831C25">
            <w:pPr>
              <w:spacing w:after="60" w:line="240" w:lineRule="auto"/>
              <w:rPr>
                <w:rFonts w:ascii="Verdana" w:hAnsi="Verdana"/>
                <w:sz w:val="8"/>
                <w:szCs w:val="20"/>
              </w:rPr>
            </w:pPr>
          </w:p>
          <w:p w14:paraId="6EC64007" w14:textId="77777777" w:rsidR="00A00AD9" w:rsidRDefault="00A00AD9" w:rsidP="00794802">
            <w:pPr>
              <w:spacing w:after="60" w:line="240" w:lineRule="auto"/>
              <w:ind w:left="34"/>
              <w:rPr>
                <w:rFonts w:ascii="Verdana" w:hAnsi="Verdana"/>
                <w:sz w:val="8"/>
                <w:szCs w:val="20"/>
              </w:rPr>
            </w:pPr>
          </w:p>
          <w:p w14:paraId="19BDC6B0" w14:textId="77777777" w:rsidR="00A00AD9" w:rsidRDefault="00A00AD9" w:rsidP="00794802">
            <w:pPr>
              <w:spacing w:after="60" w:line="240" w:lineRule="auto"/>
              <w:ind w:left="34"/>
              <w:rPr>
                <w:rFonts w:ascii="Verdana" w:hAnsi="Verdana"/>
                <w:sz w:val="8"/>
                <w:szCs w:val="20"/>
              </w:rPr>
            </w:pPr>
          </w:p>
          <w:p w14:paraId="53430F2B" w14:textId="77777777" w:rsidR="00A00AD9" w:rsidRDefault="00A00AD9" w:rsidP="00794802">
            <w:pPr>
              <w:spacing w:after="60" w:line="240" w:lineRule="auto"/>
              <w:ind w:left="34"/>
              <w:rPr>
                <w:rFonts w:ascii="Verdana" w:hAnsi="Verdana"/>
                <w:sz w:val="8"/>
                <w:szCs w:val="20"/>
              </w:rPr>
            </w:pPr>
          </w:p>
          <w:p w14:paraId="5F7877FF" w14:textId="77777777" w:rsidR="00A00AD9" w:rsidRDefault="00A00AD9" w:rsidP="00794802">
            <w:pPr>
              <w:spacing w:after="60" w:line="240" w:lineRule="auto"/>
              <w:ind w:left="34"/>
              <w:rPr>
                <w:rFonts w:ascii="Verdana" w:hAnsi="Verdana"/>
                <w:sz w:val="8"/>
                <w:szCs w:val="20"/>
              </w:rPr>
            </w:pPr>
          </w:p>
          <w:p w14:paraId="424DD888" w14:textId="77777777" w:rsidR="00A00AD9" w:rsidRDefault="00A00AD9" w:rsidP="00794802">
            <w:pPr>
              <w:spacing w:after="60" w:line="240" w:lineRule="auto"/>
              <w:ind w:left="34"/>
              <w:rPr>
                <w:rFonts w:ascii="Verdana" w:hAnsi="Verdana"/>
                <w:sz w:val="8"/>
                <w:szCs w:val="20"/>
              </w:rPr>
            </w:pPr>
          </w:p>
          <w:p w14:paraId="1C8E46EC" w14:textId="2BA05E49" w:rsidR="00A00AD9" w:rsidRPr="00794802" w:rsidRDefault="00A00AD9" w:rsidP="00794802">
            <w:pPr>
              <w:spacing w:after="60" w:line="240" w:lineRule="auto"/>
              <w:ind w:left="34"/>
              <w:rPr>
                <w:rFonts w:ascii="Verdana" w:hAnsi="Verdana"/>
                <w:sz w:val="8"/>
                <w:szCs w:val="20"/>
              </w:rPr>
            </w:pPr>
          </w:p>
        </w:tc>
      </w:tr>
      <w:tr w:rsidR="0022045F" w:rsidRPr="00794802" w14:paraId="6D42776F" w14:textId="77777777" w:rsidTr="00A00AD9">
        <w:tc>
          <w:tcPr>
            <w:tcW w:w="14717" w:type="dxa"/>
            <w:tcBorders>
              <w:top w:val="single" w:sz="4" w:space="0" w:color="002060"/>
              <w:left w:val="single" w:sz="4" w:space="0" w:color="002060"/>
              <w:bottom w:val="single" w:sz="4" w:space="0" w:color="002060"/>
              <w:right w:val="single" w:sz="24" w:space="0" w:color="002060"/>
            </w:tcBorders>
            <w:shd w:val="clear" w:color="auto" w:fill="548DD4" w:themeFill="text2" w:themeFillTint="99"/>
          </w:tcPr>
          <w:p w14:paraId="443B42E5" w14:textId="1D998343" w:rsidR="0022045F" w:rsidRDefault="0022045F" w:rsidP="00A00AD9">
            <w:pPr>
              <w:pStyle w:val="ListParagraph"/>
              <w:spacing w:after="0"/>
              <w:ind w:left="0"/>
              <w:rPr>
                <w:rFonts w:ascii="Verdana" w:hAnsi="Verdana"/>
                <w:b/>
                <w:color w:val="000000" w:themeColor="text1"/>
                <w:sz w:val="24"/>
                <w:szCs w:val="20"/>
              </w:rPr>
            </w:pPr>
            <w:r w:rsidRPr="0022045F">
              <w:rPr>
                <w:rFonts w:ascii="Verdana" w:hAnsi="Verdana"/>
                <w:b/>
                <w:color w:val="000000" w:themeColor="text1"/>
                <w:sz w:val="24"/>
                <w:szCs w:val="20"/>
              </w:rPr>
              <w:lastRenderedPageBreak/>
              <w:t xml:space="preserve">Early preparation and </w:t>
            </w:r>
            <w:r>
              <w:rPr>
                <w:rFonts w:ascii="Verdana" w:hAnsi="Verdana"/>
                <w:b/>
                <w:color w:val="000000" w:themeColor="text1"/>
                <w:sz w:val="24"/>
                <w:szCs w:val="20"/>
              </w:rPr>
              <w:t xml:space="preserve">Reflective Analysis (RA drafting) </w:t>
            </w:r>
          </w:p>
          <w:p w14:paraId="263C7F40" w14:textId="4A72BA44" w:rsidR="0022045F" w:rsidRPr="0022045F" w:rsidRDefault="0022045F" w:rsidP="00A00AD9">
            <w:pPr>
              <w:pStyle w:val="ListParagraph"/>
              <w:spacing w:after="0"/>
              <w:ind w:left="0"/>
              <w:rPr>
                <w:rFonts w:ascii="Verdana" w:hAnsi="Verdana"/>
                <w:color w:val="000000" w:themeColor="text1"/>
                <w:sz w:val="24"/>
                <w:szCs w:val="20"/>
              </w:rPr>
            </w:pPr>
            <w:r w:rsidRPr="0022045F">
              <w:rPr>
                <w:rFonts w:ascii="Verdana" w:hAnsi="Verdana"/>
                <w:color w:val="000000" w:themeColor="text1"/>
                <w:sz w:val="24"/>
                <w:szCs w:val="20"/>
              </w:rPr>
              <w:t>Submission of a contextualised RA and Advance Information Set (AIS) – submitted 8 weeks prior to planning visit</w:t>
            </w:r>
          </w:p>
          <w:p w14:paraId="2E60A157" w14:textId="19857774" w:rsidR="0022045F" w:rsidRPr="0022045F" w:rsidRDefault="0022045F" w:rsidP="00A00AD9">
            <w:pPr>
              <w:pStyle w:val="ListParagraph"/>
              <w:spacing w:after="0"/>
              <w:ind w:left="0"/>
              <w:rPr>
                <w:rFonts w:ascii="Verdana" w:hAnsi="Verdana"/>
                <w:color w:val="000000" w:themeColor="text1"/>
                <w:sz w:val="24"/>
                <w:szCs w:val="20"/>
              </w:rPr>
            </w:pPr>
            <w:r w:rsidRPr="0022045F">
              <w:rPr>
                <w:rFonts w:ascii="Verdana" w:hAnsi="Verdana"/>
                <w:color w:val="000000" w:themeColor="text1"/>
                <w:sz w:val="24"/>
                <w:szCs w:val="20"/>
              </w:rPr>
              <w:t>Early feedback on RA and AIS – 2 weeks prior to planning visit</w:t>
            </w:r>
          </w:p>
          <w:p w14:paraId="517E16EE" w14:textId="30445171" w:rsidR="0022045F" w:rsidRPr="00794802" w:rsidRDefault="0022045F" w:rsidP="0022045F">
            <w:pPr>
              <w:spacing w:after="60" w:line="240" w:lineRule="auto"/>
              <w:ind w:left="34"/>
              <w:rPr>
                <w:rFonts w:ascii="Verdana" w:hAnsi="Verdana"/>
                <w:sz w:val="8"/>
                <w:szCs w:val="20"/>
              </w:rPr>
            </w:pPr>
          </w:p>
        </w:tc>
      </w:tr>
      <w:tr w:rsidR="0022045F" w:rsidRPr="00794802" w14:paraId="55107900" w14:textId="77777777" w:rsidTr="00A00AD9">
        <w:trPr>
          <w:trHeight w:val="283"/>
        </w:trPr>
        <w:tc>
          <w:tcPr>
            <w:tcW w:w="14717" w:type="dxa"/>
            <w:vMerge w:val="restart"/>
            <w:tcBorders>
              <w:top w:val="single" w:sz="4" w:space="0" w:color="002060"/>
              <w:left w:val="single" w:sz="4" w:space="0" w:color="002060"/>
              <w:bottom w:val="single" w:sz="4" w:space="0" w:color="002060"/>
              <w:right w:val="single" w:sz="24" w:space="0" w:color="002060"/>
            </w:tcBorders>
          </w:tcPr>
          <w:p w14:paraId="50D167D9" w14:textId="77777777" w:rsidR="0022045F" w:rsidRPr="00357A79" w:rsidRDefault="0022045F" w:rsidP="00357A79">
            <w:pPr>
              <w:spacing w:after="60" w:line="240" w:lineRule="auto"/>
              <w:ind w:left="34"/>
              <w:rPr>
                <w:rFonts w:ascii="Verdana" w:hAnsi="Verdana"/>
                <w:sz w:val="8"/>
                <w:szCs w:val="20"/>
              </w:rPr>
            </w:pPr>
          </w:p>
          <w:p w14:paraId="7CF69FB3" w14:textId="603C69A1" w:rsidR="0022045F" w:rsidRPr="00CF6F22" w:rsidRDefault="00D27A3C" w:rsidP="00357A79">
            <w:pPr>
              <w:pStyle w:val="ListParagraph"/>
              <w:numPr>
                <w:ilvl w:val="0"/>
                <w:numId w:val="30"/>
              </w:numPr>
              <w:spacing w:after="60" w:line="240" w:lineRule="auto"/>
              <w:ind w:left="318" w:hanging="284"/>
              <w:contextualSpacing w:val="0"/>
              <w:rPr>
                <w:rStyle w:val="Hyperlink"/>
                <w:rFonts w:ascii="Verdana" w:hAnsi="Verdana"/>
                <w:color w:val="auto"/>
                <w:sz w:val="20"/>
                <w:szCs w:val="20"/>
                <w:u w:val="none"/>
              </w:rPr>
            </w:pPr>
            <w:hyperlink w:anchor="To_do_Ensure_student_involvement_in_RA" w:history="1">
              <w:r w:rsidR="0022045F" w:rsidRPr="006E3FEF">
                <w:rPr>
                  <w:rStyle w:val="Hyperlink"/>
                  <w:rFonts w:ascii="Verdana" w:hAnsi="Verdana"/>
                  <w:sz w:val="20"/>
                  <w:szCs w:val="20"/>
                </w:rPr>
                <w:t>Ensure student engagement in drafting the RA.</w:t>
              </w:r>
            </w:hyperlink>
          </w:p>
          <w:p w14:paraId="0A2D6B6E" w14:textId="2FF5B6E2" w:rsidR="0022045F" w:rsidRPr="00CF6F22" w:rsidRDefault="00D27A3C" w:rsidP="00CF6F22">
            <w:pPr>
              <w:pStyle w:val="ListParagraph"/>
              <w:numPr>
                <w:ilvl w:val="0"/>
                <w:numId w:val="30"/>
              </w:numPr>
              <w:spacing w:after="60" w:line="240" w:lineRule="auto"/>
              <w:ind w:left="318" w:hanging="284"/>
              <w:contextualSpacing w:val="0"/>
              <w:rPr>
                <w:rStyle w:val="Hyperlink"/>
                <w:rFonts w:ascii="Verdana" w:hAnsi="Verdana"/>
                <w:color w:val="auto"/>
                <w:sz w:val="20"/>
                <w:szCs w:val="20"/>
                <w:u w:val="none"/>
              </w:rPr>
            </w:pPr>
            <w:hyperlink w:anchor="To_do_Ensure_student_involvement_in_RA" w:history="1">
              <w:r w:rsidR="0022045F">
                <w:rPr>
                  <w:rStyle w:val="Hyperlink"/>
                  <w:rFonts w:ascii="Verdana" w:hAnsi="Verdana"/>
                  <w:sz w:val="20"/>
                  <w:szCs w:val="20"/>
                </w:rPr>
                <w:t>Utilise existing ways of gathering student representatives or develop ELIR-specific methods.</w:t>
              </w:r>
            </w:hyperlink>
          </w:p>
          <w:p w14:paraId="6D318CC1" w14:textId="5CE98935" w:rsidR="0022045F" w:rsidRPr="00CF6F22" w:rsidRDefault="0022045F" w:rsidP="00CF6F22">
            <w:pPr>
              <w:shd w:val="clear" w:color="auto" w:fill="C6D9F1" w:themeFill="text2" w:themeFillTint="33"/>
              <w:tabs>
                <w:tab w:val="left" w:pos="1701"/>
              </w:tabs>
              <w:spacing w:before="40" w:after="40" w:line="240" w:lineRule="auto"/>
              <w:rPr>
                <w:rFonts w:ascii="Verdana" w:hAnsi="Verdana"/>
                <w:color w:val="002060"/>
                <w:sz w:val="20"/>
                <w:szCs w:val="20"/>
              </w:rPr>
            </w:pPr>
            <w:r w:rsidRPr="001621EF">
              <w:rPr>
                <w:rFonts w:ascii="Verdana" w:hAnsi="Verdana"/>
                <w:color w:val="002060"/>
                <w:sz w:val="20"/>
                <w:szCs w:val="20"/>
              </w:rPr>
              <w:t>There are a number of ways to make sure students are engaged effectively in the drafting of the Reflective Analysis. Students’ associations should work with their institutions to consider existing mechanisms to access students views in the period leading up to the drafting of the RA</w:t>
            </w:r>
            <w:r>
              <w:rPr>
                <w:rFonts w:ascii="Verdana" w:hAnsi="Verdana"/>
                <w:color w:val="002060"/>
                <w:sz w:val="20"/>
                <w:szCs w:val="20"/>
              </w:rPr>
              <w:t>,</w:t>
            </w:r>
            <w:r w:rsidRPr="001621EF">
              <w:rPr>
                <w:rFonts w:ascii="Verdana" w:hAnsi="Verdana"/>
                <w:color w:val="002060"/>
                <w:sz w:val="20"/>
                <w:szCs w:val="20"/>
              </w:rPr>
              <w:t xml:space="preserve"> e.g. are there scheduled meetings of your executive committee, student council, course rep conference or any other gathering of student representatives? Could you utilise existing groups, perhaps your Student-Staff Liaison/Consultative Committees to get student views to feed into the RA? Some institutions and students’ associations also choose to conduct specific focus groups with students to gather student opinion to input into the RA. Another way for students to inform the content of the RA is through a Student Partnership A</w:t>
            </w:r>
            <w:r>
              <w:rPr>
                <w:rFonts w:ascii="Verdana" w:hAnsi="Verdana"/>
                <w:color w:val="002060"/>
                <w:sz w:val="20"/>
                <w:szCs w:val="20"/>
              </w:rPr>
              <w:t xml:space="preserve">greement or equivalent </w:t>
            </w:r>
            <w:r w:rsidRPr="00FF2E9E">
              <w:rPr>
                <w:rFonts w:ascii="Verdana" w:hAnsi="Verdana"/>
                <w:color w:val="002060"/>
                <w:sz w:val="20"/>
                <w:szCs w:val="20"/>
              </w:rPr>
              <w:t>document (see page 7). An</w:t>
            </w:r>
            <w:r w:rsidRPr="001621EF">
              <w:rPr>
                <w:rFonts w:ascii="Verdana" w:hAnsi="Verdana"/>
                <w:color w:val="002060"/>
                <w:sz w:val="20"/>
                <w:szCs w:val="20"/>
              </w:rPr>
              <w:t xml:space="preserve"> SPA can demonstrate the nature of partnership working between the institution and the students’ association and highlight the key learning and teaching issues that are important to students. It is important that the students’ association is confident that the RA is an accurate and balanced assessment of the institutional approaches, strengths and weaknesses and overall student learning experience. It is therefore vital that you provide critical input into the drafting process – helping shape the final document.</w:t>
            </w:r>
          </w:p>
          <w:p w14:paraId="32781788" w14:textId="51FBF670" w:rsidR="0022045F" w:rsidRPr="00CF6F22" w:rsidRDefault="00D27A3C" w:rsidP="00357A79">
            <w:pPr>
              <w:pStyle w:val="ListParagraph"/>
              <w:numPr>
                <w:ilvl w:val="0"/>
                <w:numId w:val="30"/>
              </w:numPr>
              <w:spacing w:after="60" w:line="240" w:lineRule="auto"/>
              <w:ind w:left="318" w:hanging="284"/>
              <w:contextualSpacing w:val="0"/>
              <w:rPr>
                <w:rStyle w:val="Hyperlink"/>
                <w:rFonts w:ascii="Verdana" w:hAnsi="Verdana"/>
                <w:color w:val="auto"/>
                <w:sz w:val="20"/>
                <w:szCs w:val="20"/>
                <w:u w:val="none"/>
              </w:rPr>
            </w:pPr>
            <w:hyperlink w:anchor="To_do_Ensure_students_recognise_" w:history="1">
              <w:r w:rsidR="0022045F" w:rsidRPr="006E3FEF">
                <w:rPr>
                  <w:rStyle w:val="Hyperlink"/>
                  <w:rFonts w:ascii="Verdana" w:hAnsi="Verdana"/>
                  <w:sz w:val="20"/>
                  <w:szCs w:val="20"/>
                </w:rPr>
                <w:t>Ensure students recognise and endorse the content of the RA and AIS.</w:t>
              </w:r>
            </w:hyperlink>
          </w:p>
          <w:p w14:paraId="29226226" w14:textId="3A24CF43" w:rsidR="0022045F" w:rsidRPr="00CF6F22" w:rsidRDefault="0022045F" w:rsidP="00CF6F22">
            <w:pPr>
              <w:shd w:val="clear" w:color="auto" w:fill="C6D9F1" w:themeFill="text2" w:themeFillTint="33"/>
              <w:tabs>
                <w:tab w:val="left" w:pos="1701"/>
              </w:tabs>
              <w:spacing w:before="40" w:after="40" w:line="240" w:lineRule="auto"/>
              <w:rPr>
                <w:rFonts w:ascii="Verdana" w:hAnsi="Verdana"/>
                <w:b/>
                <w:color w:val="002060"/>
                <w:sz w:val="20"/>
                <w:szCs w:val="20"/>
              </w:rPr>
            </w:pPr>
            <w:r w:rsidRPr="000F035C">
              <w:rPr>
                <w:rFonts w:ascii="Verdana" w:hAnsi="Verdana"/>
                <w:color w:val="002060"/>
                <w:sz w:val="20"/>
                <w:szCs w:val="20"/>
              </w:rPr>
              <w:t>An analysis of student feedback is an essential element of the AIS, so it is vital for the students’ association and student officers to interact with this as soon as possible. In terms of content of the AIS and RA, i</w:t>
            </w:r>
            <w:r>
              <w:rPr>
                <w:rFonts w:ascii="Verdana" w:hAnsi="Verdana"/>
                <w:color w:val="002060"/>
                <w:sz w:val="20"/>
                <w:szCs w:val="20"/>
              </w:rPr>
              <w:t>t i</w:t>
            </w:r>
            <w:r w:rsidRPr="000F035C">
              <w:rPr>
                <w:rFonts w:ascii="Verdana" w:hAnsi="Verdana"/>
                <w:color w:val="002060"/>
                <w:sz w:val="20"/>
                <w:szCs w:val="20"/>
              </w:rPr>
              <w:t xml:space="preserve">s also important that students recognise what the institution presents about itself as accurate to their own experience. To ensure student ownership, meaningful consultation with students must be built into the development of the documents. </w:t>
            </w:r>
          </w:p>
          <w:p w14:paraId="0E8B012D" w14:textId="3BA6AA75" w:rsidR="0022045F" w:rsidRPr="00CF6F22" w:rsidRDefault="00D27A3C" w:rsidP="00357A79">
            <w:pPr>
              <w:pStyle w:val="ListParagraph"/>
              <w:numPr>
                <w:ilvl w:val="0"/>
                <w:numId w:val="30"/>
              </w:numPr>
              <w:spacing w:after="0" w:line="240" w:lineRule="auto"/>
              <w:ind w:left="318" w:hanging="284"/>
              <w:rPr>
                <w:rStyle w:val="Hyperlink"/>
                <w:rFonts w:ascii="Verdana" w:hAnsi="Verdana"/>
                <w:color w:val="auto"/>
                <w:sz w:val="20"/>
                <w:szCs w:val="20"/>
                <w:u w:val="none"/>
              </w:rPr>
            </w:pPr>
            <w:hyperlink w:anchor="To_do_Be_aware_of_the_content_" w:history="1">
              <w:r w:rsidR="0022045F" w:rsidRPr="006E3FEF">
                <w:rPr>
                  <w:rStyle w:val="Hyperlink"/>
                  <w:rFonts w:ascii="Verdana" w:hAnsi="Verdana"/>
                  <w:sz w:val="20"/>
                  <w:szCs w:val="20"/>
                </w:rPr>
                <w:t>Be aware of the content of early feedback.</w:t>
              </w:r>
            </w:hyperlink>
          </w:p>
          <w:p w14:paraId="442B8815" w14:textId="03C03321" w:rsidR="0022045F" w:rsidRPr="00CF6F22" w:rsidRDefault="0022045F" w:rsidP="00CF6F22">
            <w:pPr>
              <w:shd w:val="clear" w:color="auto" w:fill="C6D9F1" w:themeFill="text2" w:themeFillTint="33"/>
              <w:tabs>
                <w:tab w:val="left" w:pos="1701"/>
              </w:tabs>
              <w:spacing w:before="40" w:after="40" w:line="240" w:lineRule="auto"/>
              <w:rPr>
                <w:rFonts w:ascii="Verdana" w:hAnsi="Verdana"/>
                <w:sz w:val="20"/>
                <w:szCs w:val="20"/>
              </w:rPr>
            </w:pPr>
            <w:r w:rsidRPr="000F035C">
              <w:rPr>
                <w:rFonts w:ascii="Verdana" w:hAnsi="Verdana"/>
                <w:color w:val="002060"/>
                <w:sz w:val="20"/>
                <w:szCs w:val="20"/>
              </w:rPr>
              <w:t>This will give you an idea about what will be explored in the Planning Visit</w:t>
            </w:r>
            <w:r>
              <w:rPr>
                <w:rFonts w:ascii="Verdana" w:hAnsi="Verdana"/>
                <w:color w:val="002060"/>
                <w:sz w:val="20"/>
                <w:szCs w:val="20"/>
              </w:rPr>
              <w:t>,</w:t>
            </w:r>
            <w:r w:rsidRPr="000F035C">
              <w:rPr>
                <w:rFonts w:ascii="Verdana" w:hAnsi="Verdana"/>
                <w:color w:val="002060"/>
                <w:sz w:val="20"/>
                <w:szCs w:val="20"/>
              </w:rPr>
              <w:t xml:space="preserve"> so that you can prepare the officers and students who will be involved. In addition, it is useful to know the areas where the review team has requested additional information and if you can provide support for that.</w:t>
            </w:r>
          </w:p>
        </w:tc>
      </w:tr>
      <w:tr w:rsidR="0022045F" w:rsidRPr="00794802" w14:paraId="341A9750" w14:textId="77777777" w:rsidTr="00A00AD9">
        <w:trPr>
          <w:trHeight w:val="480"/>
        </w:trPr>
        <w:tc>
          <w:tcPr>
            <w:tcW w:w="14717" w:type="dxa"/>
            <w:vMerge/>
            <w:tcBorders>
              <w:top w:val="single" w:sz="4" w:space="0" w:color="002060"/>
              <w:left w:val="single" w:sz="4" w:space="0" w:color="002060"/>
              <w:bottom w:val="single" w:sz="4" w:space="0" w:color="002060"/>
              <w:right w:val="single" w:sz="24" w:space="0" w:color="002060"/>
            </w:tcBorders>
          </w:tcPr>
          <w:p w14:paraId="10D77119" w14:textId="77777777" w:rsidR="0022045F" w:rsidRPr="00794802" w:rsidRDefault="0022045F" w:rsidP="00794802">
            <w:pPr>
              <w:pStyle w:val="ListParagraph"/>
              <w:ind w:left="318" w:hanging="284"/>
              <w:rPr>
                <w:rFonts w:ascii="Verdana" w:hAnsi="Verdana"/>
                <w:sz w:val="20"/>
                <w:szCs w:val="20"/>
              </w:rPr>
            </w:pPr>
          </w:p>
        </w:tc>
      </w:tr>
      <w:tr w:rsidR="0022045F" w:rsidRPr="00794802" w14:paraId="14F0BDAB" w14:textId="77777777" w:rsidTr="00A00AD9">
        <w:trPr>
          <w:trHeight w:val="480"/>
        </w:trPr>
        <w:tc>
          <w:tcPr>
            <w:tcW w:w="14717" w:type="dxa"/>
            <w:vMerge/>
            <w:tcBorders>
              <w:top w:val="single" w:sz="4" w:space="0" w:color="002060"/>
              <w:left w:val="single" w:sz="4" w:space="0" w:color="002060"/>
              <w:bottom w:val="single" w:sz="24" w:space="0" w:color="002060"/>
              <w:right w:val="single" w:sz="24" w:space="0" w:color="002060"/>
            </w:tcBorders>
          </w:tcPr>
          <w:p w14:paraId="29D96B29" w14:textId="77777777" w:rsidR="0022045F" w:rsidRPr="00794802" w:rsidRDefault="0022045F" w:rsidP="00794802">
            <w:pPr>
              <w:pStyle w:val="ListParagraph"/>
              <w:ind w:left="318" w:hanging="284"/>
              <w:rPr>
                <w:rFonts w:ascii="Verdana" w:hAnsi="Verdana"/>
                <w:sz w:val="20"/>
                <w:szCs w:val="20"/>
              </w:rPr>
            </w:pPr>
          </w:p>
        </w:tc>
      </w:tr>
    </w:tbl>
    <w:p w14:paraId="5A45D2A5" w14:textId="389BF67A" w:rsidR="00794802" w:rsidRDefault="00794802">
      <w:pPr>
        <w:rPr>
          <w:rFonts w:ascii="Verdana" w:hAnsi="Verdana"/>
          <w:sz w:val="34"/>
          <w:szCs w:val="20"/>
        </w:rPr>
      </w:pPr>
    </w:p>
    <w:p w14:paraId="524B894D" w14:textId="5ECF526A" w:rsidR="00A00AD9" w:rsidRDefault="00A00AD9">
      <w:pPr>
        <w:rPr>
          <w:rFonts w:ascii="Verdana" w:hAnsi="Verdana"/>
          <w:sz w:val="34"/>
          <w:szCs w:val="20"/>
        </w:rPr>
      </w:pPr>
    </w:p>
    <w:p w14:paraId="5299A49E" w14:textId="6B4D21C1" w:rsidR="00A00AD9" w:rsidRDefault="00A00AD9">
      <w:pPr>
        <w:rPr>
          <w:rFonts w:ascii="Verdana" w:hAnsi="Verdana"/>
          <w:sz w:val="34"/>
          <w:szCs w:val="20"/>
        </w:rPr>
      </w:pPr>
    </w:p>
    <w:p w14:paraId="0914D996" w14:textId="77777777" w:rsidR="00A00AD9" w:rsidRDefault="00A00AD9">
      <w:pPr>
        <w:rPr>
          <w:rFonts w:ascii="Verdana" w:hAnsi="Verdana"/>
          <w:sz w:val="34"/>
          <w:szCs w:val="20"/>
        </w:rPr>
      </w:pPr>
    </w:p>
    <w:p w14:paraId="2BA72B4B" w14:textId="72593DF7" w:rsidR="009F1F0B" w:rsidRDefault="009F1F0B">
      <w:pPr>
        <w:rPr>
          <w:rFonts w:ascii="Verdana" w:hAnsi="Verdana"/>
          <w:sz w:val="6"/>
          <w:szCs w:val="20"/>
        </w:rPr>
      </w:pPr>
    </w:p>
    <w:p w14:paraId="64AB2FA1" w14:textId="77777777" w:rsidR="0022045F" w:rsidRPr="009074C4" w:rsidRDefault="0022045F">
      <w:pPr>
        <w:rPr>
          <w:rFonts w:ascii="Verdana" w:hAnsi="Verdana"/>
          <w:sz w:val="6"/>
          <w:szCs w:val="20"/>
        </w:rPr>
      </w:pPr>
    </w:p>
    <w:tbl>
      <w:tblPr>
        <w:tblStyle w:val="TableGrid"/>
        <w:tblW w:w="14885" w:type="dxa"/>
        <w:tblInd w:w="112" w:type="dxa"/>
        <w:tblLook w:val="04A0" w:firstRow="1" w:lastRow="0" w:firstColumn="1" w:lastColumn="0" w:noHBand="0" w:noVBand="1"/>
      </w:tblPr>
      <w:tblGrid>
        <w:gridCol w:w="14885"/>
      </w:tblGrid>
      <w:tr w:rsidR="0022045F" w:rsidRPr="00794802" w14:paraId="66EC2109" w14:textId="77777777" w:rsidTr="00A00AD9">
        <w:tc>
          <w:tcPr>
            <w:tcW w:w="14885" w:type="dxa"/>
            <w:tcBorders>
              <w:top w:val="single" w:sz="24" w:space="0" w:color="002060"/>
              <w:left w:val="single" w:sz="24" w:space="0" w:color="002060"/>
              <w:bottom w:val="single" w:sz="4" w:space="0" w:color="002060"/>
              <w:right w:val="single" w:sz="24" w:space="0" w:color="002060"/>
            </w:tcBorders>
            <w:shd w:val="clear" w:color="auto" w:fill="548DD4" w:themeFill="text2" w:themeFillTint="99"/>
            <w:hideMark/>
          </w:tcPr>
          <w:p w14:paraId="4B594DD8" w14:textId="3EFA9B05" w:rsidR="0022045F" w:rsidRDefault="0022045F" w:rsidP="00A00AD9">
            <w:pPr>
              <w:pStyle w:val="ListParagraph"/>
              <w:spacing w:after="0"/>
              <w:ind w:left="0"/>
              <w:rPr>
                <w:rFonts w:ascii="Verdana" w:hAnsi="Verdana"/>
                <w:b/>
                <w:color w:val="000000" w:themeColor="text1"/>
                <w:sz w:val="24"/>
                <w:szCs w:val="20"/>
              </w:rPr>
            </w:pPr>
            <w:r>
              <w:rPr>
                <w:rFonts w:ascii="Verdana" w:hAnsi="Verdana"/>
                <w:b/>
                <w:color w:val="000000" w:themeColor="text1"/>
                <w:sz w:val="24"/>
                <w:szCs w:val="20"/>
              </w:rPr>
              <w:t>Planning visit</w:t>
            </w:r>
          </w:p>
          <w:p w14:paraId="73A20B75" w14:textId="77777777" w:rsidR="0022045F" w:rsidRDefault="0022045F" w:rsidP="00A00AD9">
            <w:pPr>
              <w:pStyle w:val="ListParagraph"/>
              <w:spacing w:after="0"/>
              <w:ind w:left="0"/>
              <w:rPr>
                <w:rFonts w:ascii="Verdana" w:hAnsi="Verdana"/>
                <w:color w:val="000000" w:themeColor="text1"/>
                <w:sz w:val="24"/>
                <w:szCs w:val="20"/>
              </w:rPr>
            </w:pPr>
            <w:r>
              <w:rPr>
                <w:rFonts w:ascii="Verdana" w:hAnsi="Verdana"/>
                <w:color w:val="000000" w:themeColor="text1"/>
                <w:sz w:val="24"/>
                <w:szCs w:val="20"/>
              </w:rPr>
              <w:t>6-8 weeks before Review Visit – 1 day</w:t>
            </w:r>
          </w:p>
          <w:p w14:paraId="6376FD9B" w14:textId="798D1308" w:rsidR="0022045F" w:rsidRPr="0022045F" w:rsidRDefault="0022045F" w:rsidP="00A00AD9">
            <w:pPr>
              <w:pStyle w:val="ListParagraph"/>
              <w:spacing w:after="0"/>
              <w:ind w:left="0"/>
              <w:rPr>
                <w:rFonts w:ascii="Verdana" w:hAnsi="Verdana"/>
                <w:color w:val="000000" w:themeColor="text1"/>
                <w:sz w:val="24"/>
                <w:szCs w:val="20"/>
              </w:rPr>
            </w:pPr>
            <w:r>
              <w:rPr>
                <w:rFonts w:ascii="Verdana" w:hAnsi="Verdana"/>
                <w:color w:val="000000" w:themeColor="text1"/>
                <w:sz w:val="24"/>
                <w:szCs w:val="20"/>
              </w:rPr>
              <w:t>Submission of additional materials – 2 to 3 weeks before Review Visit</w:t>
            </w:r>
          </w:p>
        </w:tc>
      </w:tr>
      <w:tr w:rsidR="00831C25" w:rsidRPr="00794802" w14:paraId="3B60AC90" w14:textId="77777777" w:rsidTr="00831C25">
        <w:tc>
          <w:tcPr>
            <w:tcW w:w="14885" w:type="dxa"/>
            <w:tcBorders>
              <w:top w:val="single" w:sz="4" w:space="0" w:color="002060"/>
              <w:left w:val="single" w:sz="4" w:space="0" w:color="002060"/>
              <w:bottom w:val="single" w:sz="4" w:space="0" w:color="auto"/>
              <w:right w:val="single" w:sz="24" w:space="0" w:color="002060"/>
            </w:tcBorders>
            <w:hideMark/>
          </w:tcPr>
          <w:p w14:paraId="6434AB1E" w14:textId="77777777" w:rsidR="00831C25" w:rsidRPr="00357A79" w:rsidRDefault="00831C25" w:rsidP="00357A79">
            <w:pPr>
              <w:spacing w:after="60" w:line="240" w:lineRule="auto"/>
              <w:ind w:left="34"/>
              <w:rPr>
                <w:rFonts w:ascii="Verdana" w:hAnsi="Verdana"/>
                <w:sz w:val="8"/>
                <w:szCs w:val="20"/>
              </w:rPr>
            </w:pPr>
          </w:p>
          <w:p w14:paraId="1EB433D6" w14:textId="07D0109A" w:rsidR="00831C25" w:rsidRPr="00CF6F22" w:rsidRDefault="00D27A3C" w:rsidP="00794802">
            <w:pPr>
              <w:pStyle w:val="ListParagraph"/>
              <w:numPr>
                <w:ilvl w:val="0"/>
                <w:numId w:val="30"/>
              </w:numPr>
              <w:spacing w:after="60" w:line="240" w:lineRule="auto"/>
              <w:ind w:left="318" w:hanging="284"/>
              <w:contextualSpacing w:val="0"/>
              <w:rPr>
                <w:rStyle w:val="Hyperlink"/>
                <w:rFonts w:ascii="Verdana" w:hAnsi="Verdana"/>
                <w:color w:val="auto"/>
                <w:sz w:val="20"/>
                <w:szCs w:val="20"/>
                <w:u w:val="none"/>
              </w:rPr>
            </w:pPr>
            <w:hyperlink w:anchor="To_do_Get_the_most_out_of_Planning_Visit" w:history="1">
              <w:r w:rsidR="00831C25" w:rsidRPr="006E3FEF">
                <w:rPr>
                  <w:rStyle w:val="Hyperlink"/>
                  <w:rFonts w:ascii="Verdana" w:hAnsi="Verdana"/>
                  <w:sz w:val="20"/>
                  <w:szCs w:val="20"/>
                </w:rPr>
                <w:t>Get the most out of your Planning Visit, think about what works well, what could be improved.</w:t>
              </w:r>
            </w:hyperlink>
          </w:p>
          <w:p w14:paraId="66AC284E" w14:textId="1B67CC1B" w:rsidR="00831C25" w:rsidRPr="00CF6F22" w:rsidRDefault="00831C25" w:rsidP="00CF6F22">
            <w:pPr>
              <w:shd w:val="clear" w:color="auto" w:fill="C6D9F1" w:themeFill="text2" w:themeFillTint="33"/>
              <w:tabs>
                <w:tab w:val="left" w:pos="1701"/>
              </w:tabs>
              <w:spacing w:before="40" w:after="40" w:line="240" w:lineRule="auto"/>
              <w:rPr>
                <w:rFonts w:ascii="Verdana" w:hAnsi="Verdana"/>
                <w:color w:val="002060"/>
                <w:sz w:val="20"/>
                <w:szCs w:val="20"/>
              </w:rPr>
            </w:pPr>
            <w:r w:rsidRPr="000F035C">
              <w:rPr>
                <w:rFonts w:ascii="Verdana" w:hAnsi="Verdana"/>
                <w:color w:val="002060"/>
                <w:sz w:val="20"/>
                <w:szCs w:val="20"/>
              </w:rPr>
              <w:t>The Planning Visit is another opportunity to confirm whether students felt the RA and its contextualisation reflects the key themes and opinions of the student body. The review team will want to establish which topics students would like to be explored further in the Review Visit, so this is your opportunity to explore the issues that your work in preparing the RA has highlighted. You should make sure that whatever is highlighted is backed up by the evidence the students’ association has available about what is important to students. For example, you could consider: feedback from course reps; Student-Led Teaching Awards data; students’ association advice work; in</w:t>
            </w:r>
            <w:r>
              <w:rPr>
                <w:rFonts w:ascii="Verdana" w:hAnsi="Verdana"/>
                <w:color w:val="002060"/>
                <w:sz w:val="20"/>
                <w:szCs w:val="20"/>
              </w:rPr>
              <w:t>ternal and external survey data;</w:t>
            </w:r>
            <w:r w:rsidRPr="000F035C">
              <w:rPr>
                <w:rFonts w:ascii="Verdana" w:hAnsi="Verdana"/>
                <w:color w:val="002060"/>
                <w:sz w:val="20"/>
                <w:szCs w:val="20"/>
              </w:rPr>
              <w:t xml:space="preserve"> etc.</w:t>
            </w:r>
          </w:p>
          <w:p w14:paraId="023549AD" w14:textId="2BF18AC7" w:rsidR="00831C25" w:rsidRPr="00CF6F22" w:rsidRDefault="00D27A3C" w:rsidP="00794802">
            <w:pPr>
              <w:pStyle w:val="ListParagraph"/>
              <w:numPr>
                <w:ilvl w:val="0"/>
                <w:numId w:val="30"/>
              </w:numPr>
              <w:spacing w:after="60" w:line="240" w:lineRule="auto"/>
              <w:ind w:left="318" w:hanging="284"/>
              <w:contextualSpacing w:val="0"/>
              <w:rPr>
                <w:rStyle w:val="Hyperlink"/>
                <w:rFonts w:ascii="Verdana" w:hAnsi="Verdana"/>
                <w:color w:val="auto"/>
                <w:sz w:val="20"/>
                <w:szCs w:val="20"/>
                <w:u w:val="none"/>
              </w:rPr>
            </w:pPr>
            <w:hyperlink w:anchor="To_do_Ensure_RA_AIS_accessible_" w:history="1">
              <w:r w:rsidR="00831C25" w:rsidRPr="006E3FEF">
                <w:rPr>
                  <w:rStyle w:val="Hyperlink"/>
                  <w:rFonts w:ascii="Verdana" w:hAnsi="Verdana"/>
                  <w:sz w:val="20"/>
                  <w:szCs w:val="20"/>
                </w:rPr>
                <w:t>Make RA, AIS and supporting evidence accessible and brief all involved.</w:t>
              </w:r>
            </w:hyperlink>
          </w:p>
          <w:p w14:paraId="6D095FC3" w14:textId="7BF5B297" w:rsidR="00831C25" w:rsidRPr="00CF6F22" w:rsidRDefault="00831C25" w:rsidP="00CF6F22">
            <w:pPr>
              <w:shd w:val="clear" w:color="auto" w:fill="C6D9F1" w:themeFill="text2" w:themeFillTint="33"/>
              <w:tabs>
                <w:tab w:val="left" w:pos="1701"/>
              </w:tabs>
              <w:spacing w:before="40" w:after="40" w:line="240" w:lineRule="auto"/>
              <w:rPr>
                <w:rFonts w:ascii="Verdana" w:hAnsi="Verdana"/>
                <w:color w:val="002060"/>
                <w:sz w:val="20"/>
                <w:szCs w:val="20"/>
              </w:rPr>
            </w:pPr>
            <w:r w:rsidRPr="003D2E52">
              <w:rPr>
                <w:rFonts w:ascii="Verdana" w:hAnsi="Verdana"/>
                <w:color w:val="002060"/>
                <w:sz w:val="20"/>
                <w:szCs w:val="20"/>
              </w:rPr>
              <w:t>It is essential to the Planning Visit that student representatives are aware of the key issues highlighted in the RA, AIS and supporting evidence. Make sure that those involved are properly briefed and have an opportunity to reflect and ask any questions p</w:t>
            </w:r>
            <w:r>
              <w:rPr>
                <w:rFonts w:ascii="Verdana" w:hAnsi="Verdana"/>
                <w:color w:val="002060"/>
                <w:sz w:val="20"/>
                <w:szCs w:val="20"/>
              </w:rPr>
              <w:t>rior to the Planning Visit</w:t>
            </w:r>
            <w:r w:rsidRPr="003D2E52">
              <w:rPr>
                <w:rFonts w:ascii="Verdana" w:hAnsi="Verdana"/>
                <w:color w:val="002060"/>
                <w:sz w:val="20"/>
                <w:szCs w:val="20"/>
              </w:rPr>
              <w:t xml:space="preserve">. </w:t>
            </w:r>
          </w:p>
          <w:p w14:paraId="27A844E5" w14:textId="0B585150" w:rsidR="00831C25" w:rsidRPr="00CF6F22" w:rsidRDefault="00D27A3C" w:rsidP="00794802">
            <w:pPr>
              <w:pStyle w:val="ListParagraph"/>
              <w:numPr>
                <w:ilvl w:val="0"/>
                <w:numId w:val="30"/>
              </w:numPr>
              <w:spacing w:after="60" w:line="240" w:lineRule="auto"/>
              <w:ind w:left="318" w:hanging="284"/>
              <w:contextualSpacing w:val="0"/>
              <w:rPr>
                <w:rStyle w:val="Hyperlink"/>
                <w:rFonts w:ascii="Verdana" w:hAnsi="Verdana"/>
                <w:color w:val="auto"/>
                <w:sz w:val="20"/>
                <w:szCs w:val="20"/>
                <w:u w:val="none"/>
              </w:rPr>
            </w:pPr>
            <w:hyperlink w:anchor="To_do_Think_about_who_at_Planning_Visit" w:history="1">
              <w:r w:rsidR="00831C25" w:rsidRPr="006E3FEF">
                <w:rPr>
                  <w:rStyle w:val="Hyperlink"/>
                  <w:rFonts w:ascii="Verdana" w:hAnsi="Verdana"/>
                  <w:sz w:val="20"/>
                  <w:szCs w:val="20"/>
                </w:rPr>
                <w:t>Think about who will be involved in the Planning Visit.</w:t>
              </w:r>
            </w:hyperlink>
          </w:p>
          <w:p w14:paraId="51581669" w14:textId="2E8DEFEF" w:rsidR="00831C25" w:rsidRPr="00831C25" w:rsidRDefault="00831C25" w:rsidP="00831C25">
            <w:pPr>
              <w:shd w:val="clear" w:color="auto" w:fill="C6D9F1" w:themeFill="text2" w:themeFillTint="33"/>
              <w:tabs>
                <w:tab w:val="left" w:pos="1701"/>
              </w:tabs>
              <w:spacing w:before="40" w:after="40" w:line="240" w:lineRule="auto"/>
              <w:rPr>
                <w:rFonts w:ascii="Verdana" w:hAnsi="Verdana"/>
                <w:color w:val="002060"/>
                <w:sz w:val="20"/>
                <w:szCs w:val="20"/>
              </w:rPr>
            </w:pPr>
            <w:r w:rsidRPr="003D2E52">
              <w:rPr>
                <w:rFonts w:ascii="Verdana" w:hAnsi="Verdana"/>
                <w:color w:val="002060"/>
                <w:sz w:val="20"/>
                <w:szCs w:val="20"/>
              </w:rPr>
              <w:t>It’s extremely important that a variety of representatives from the student body and students’ association are present at the Planning Visit. The review team will be interested in meeting students who are broadly representative of the institution’s whole student population and who, as a group, are capable of talking on behalf of the student body as a whole. It is good practice to consider the diversity of the group in terms of mode of study, gender balance and subject balance. The students’ association can be asked to help identify the relevant students to talk to for this meeting. It would be useful to include representatives who have been involved in preparing for ELIR, those with experience of Institution-led Review or who have been involved in other institutional activity</w:t>
            </w:r>
            <w:r>
              <w:rPr>
                <w:rFonts w:ascii="Verdana" w:hAnsi="Verdana"/>
                <w:color w:val="002060"/>
                <w:sz w:val="20"/>
                <w:szCs w:val="20"/>
              </w:rPr>
              <w:t>,</w:t>
            </w:r>
            <w:r w:rsidRPr="003D2E52">
              <w:rPr>
                <w:rFonts w:ascii="Verdana" w:hAnsi="Verdana"/>
                <w:color w:val="002060"/>
                <w:sz w:val="20"/>
                <w:szCs w:val="20"/>
              </w:rPr>
              <w:t xml:space="preserve"> such as members of the institutional enhancement team. You should carefully consider who the most appropriate people are and agree this with your institution</w:t>
            </w:r>
            <w:r>
              <w:rPr>
                <w:rFonts w:ascii="Verdana" w:hAnsi="Verdana"/>
                <w:color w:val="002060"/>
                <w:sz w:val="20"/>
                <w:szCs w:val="20"/>
              </w:rPr>
              <w:t>,</w:t>
            </w:r>
            <w:r w:rsidRPr="003D2E52">
              <w:rPr>
                <w:rFonts w:ascii="Verdana" w:hAnsi="Verdana"/>
                <w:color w:val="002060"/>
                <w:sz w:val="20"/>
                <w:szCs w:val="20"/>
              </w:rPr>
              <w:t xml:space="preserve"> e.g. the Preside</w:t>
            </w:r>
            <w:r>
              <w:rPr>
                <w:rFonts w:ascii="Verdana" w:hAnsi="Verdana"/>
                <w:color w:val="002060"/>
                <w:sz w:val="20"/>
                <w:szCs w:val="20"/>
              </w:rPr>
              <w:t>nt, VP Education, some engaged school/faculty o</w:t>
            </w:r>
            <w:r w:rsidRPr="003D2E52">
              <w:rPr>
                <w:rFonts w:ascii="Verdana" w:hAnsi="Verdana"/>
                <w:color w:val="002060"/>
                <w:sz w:val="20"/>
                <w:szCs w:val="20"/>
              </w:rPr>
              <w:t xml:space="preserve">fficers, </w:t>
            </w:r>
            <w:r>
              <w:rPr>
                <w:rFonts w:ascii="Verdana" w:hAnsi="Verdana"/>
                <w:color w:val="002060"/>
                <w:sz w:val="20"/>
                <w:szCs w:val="20"/>
              </w:rPr>
              <w:t xml:space="preserve">other </w:t>
            </w:r>
            <w:r w:rsidRPr="003D2E52">
              <w:rPr>
                <w:rFonts w:ascii="Verdana" w:hAnsi="Verdana"/>
                <w:color w:val="002060"/>
                <w:sz w:val="20"/>
                <w:szCs w:val="20"/>
              </w:rPr>
              <w:t>sabbatical officers</w:t>
            </w:r>
            <w:r>
              <w:rPr>
                <w:rFonts w:ascii="Verdana" w:hAnsi="Verdana"/>
                <w:color w:val="002060"/>
                <w:sz w:val="20"/>
                <w:szCs w:val="20"/>
              </w:rPr>
              <w:t>,</w:t>
            </w:r>
            <w:r w:rsidRPr="003D2E52">
              <w:rPr>
                <w:rFonts w:ascii="Verdana" w:hAnsi="Verdana"/>
                <w:color w:val="002060"/>
                <w:sz w:val="20"/>
                <w:szCs w:val="20"/>
              </w:rPr>
              <w:t xml:space="preserve"> etc</w:t>
            </w:r>
            <w:r>
              <w:rPr>
                <w:rFonts w:ascii="Verdana" w:hAnsi="Verdana"/>
                <w:color w:val="002060"/>
                <w:sz w:val="20"/>
                <w:szCs w:val="20"/>
              </w:rPr>
              <w:t>.</w:t>
            </w:r>
          </w:p>
        </w:tc>
      </w:tr>
      <w:tr w:rsidR="0022045F" w:rsidRPr="00794802" w14:paraId="64389E61" w14:textId="77777777" w:rsidTr="00A00AD9">
        <w:tc>
          <w:tcPr>
            <w:tcW w:w="14885" w:type="dxa"/>
            <w:tcBorders>
              <w:top w:val="single" w:sz="4" w:space="0" w:color="002060"/>
              <w:left w:val="single" w:sz="24" w:space="0" w:color="002060"/>
              <w:bottom w:val="single" w:sz="4" w:space="0" w:color="auto"/>
              <w:right w:val="single" w:sz="24" w:space="0" w:color="002060"/>
            </w:tcBorders>
            <w:shd w:val="clear" w:color="auto" w:fill="548DD4" w:themeFill="text2" w:themeFillTint="99"/>
          </w:tcPr>
          <w:p w14:paraId="3095D925" w14:textId="0BCDEAD6" w:rsidR="0022045F" w:rsidRDefault="0022045F" w:rsidP="00A00AD9">
            <w:pPr>
              <w:pStyle w:val="ListParagraph"/>
              <w:spacing w:after="0" w:line="240" w:lineRule="auto"/>
              <w:ind w:left="0"/>
              <w:rPr>
                <w:rFonts w:ascii="Verdana" w:hAnsi="Verdana"/>
                <w:b/>
                <w:color w:val="000000" w:themeColor="text1"/>
                <w:sz w:val="24"/>
                <w:szCs w:val="20"/>
              </w:rPr>
            </w:pPr>
            <w:r>
              <w:rPr>
                <w:rFonts w:ascii="Verdana" w:hAnsi="Verdana"/>
                <w:b/>
                <w:color w:val="000000" w:themeColor="text1"/>
                <w:sz w:val="24"/>
                <w:szCs w:val="20"/>
              </w:rPr>
              <w:t>Review visit</w:t>
            </w:r>
          </w:p>
          <w:p w14:paraId="693653C5" w14:textId="421EE65F" w:rsidR="0022045F" w:rsidRPr="0022045F" w:rsidRDefault="0022045F" w:rsidP="00A00AD9">
            <w:pPr>
              <w:pStyle w:val="ListParagraph"/>
              <w:spacing w:after="0" w:line="240" w:lineRule="auto"/>
              <w:ind w:left="0"/>
              <w:rPr>
                <w:rFonts w:ascii="Verdana" w:hAnsi="Verdana"/>
                <w:color w:val="000000" w:themeColor="text1"/>
                <w:sz w:val="24"/>
                <w:szCs w:val="20"/>
              </w:rPr>
            </w:pPr>
            <w:r>
              <w:rPr>
                <w:rFonts w:ascii="Verdana" w:hAnsi="Verdana"/>
                <w:color w:val="000000" w:themeColor="text1"/>
                <w:sz w:val="24"/>
                <w:szCs w:val="20"/>
              </w:rPr>
              <w:t xml:space="preserve">Up to 5 days </w:t>
            </w:r>
          </w:p>
        </w:tc>
      </w:tr>
      <w:tr w:rsidR="0022045F" w:rsidRPr="00794802" w14:paraId="3C4DA1FE" w14:textId="77777777" w:rsidTr="00A00AD9">
        <w:tc>
          <w:tcPr>
            <w:tcW w:w="14885" w:type="dxa"/>
            <w:tcBorders>
              <w:top w:val="single" w:sz="4" w:space="0" w:color="auto"/>
              <w:left w:val="single" w:sz="4" w:space="0" w:color="002060"/>
              <w:bottom w:val="single" w:sz="4" w:space="0" w:color="002060"/>
              <w:right w:val="single" w:sz="24" w:space="0" w:color="002060"/>
            </w:tcBorders>
            <w:hideMark/>
          </w:tcPr>
          <w:p w14:paraId="6CC3CD95" w14:textId="77777777" w:rsidR="0022045F" w:rsidRPr="00357A79" w:rsidRDefault="0022045F" w:rsidP="00357A79">
            <w:pPr>
              <w:spacing w:after="60" w:line="240" w:lineRule="auto"/>
              <w:ind w:left="34"/>
              <w:rPr>
                <w:rFonts w:ascii="Verdana" w:hAnsi="Verdana"/>
                <w:sz w:val="8"/>
                <w:szCs w:val="20"/>
              </w:rPr>
            </w:pPr>
          </w:p>
          <w:p w14:paraId="197129BB" w14:textId="5C72B1BD" w:rsidR="0022045F" w:rsidRPr="00CF6F22" w:rsidRDefault="00D27A3C" w:rsidP="00794802">
            <w:pPr>
              <w:pStyle w:val="ListParagraph"/>
              <w:numPr>
                <w:ilvl w:val="0"/>
                <w:numId w:val="30"/>
              </w:numPr>
              <w:spacing w:after="60" w:line="240" w:lineRule="auto"/>
              <w:ind w:left="318" w:hanging="284"/>
              <w:contextualSpacing w:val="0"/>
              <w:rPr>
                <w:rStyle w:val="Hyperlink"/>
                <w:rFonts w:ascii="Verdana" w:hAnsi="Verdana"/>
                <w:color w:val="auto"/>
                <w:sz w:val="20"/>
                <w:szCs w:val="20"/>
                <w:u w:val="none"/>
              </w:rPr>
            </w:pPr>
            <w:hyperlink w:anchor="To_do_Get_the_most_out_of_Review_Visit" w:history="1">
              <w:r w:rsidR="0022045F" w:rsidRPr="006E3FEF">
                <w:rPr>
                  <w:rStyle w:val="Hyperlink"/>
                  <w:rFonts w:ascii="Verdana" w:hAnsi="Verdana"/>
                  <w:sz w:val="20"/>
                  <w:szCs w:val="20"/>
                </w:rPr>
                <w:t>Get the most out of your Review Visit, be prepared and brief all involved.</w:t>
              </w:r>
            </w:hyperlink>
          </w:p>
          <w:p w14:paraId="13C61480" w14:textId="335673C3" w:rsidR="0022045F" w:rsidRPr="00CF6F22" w:rsidRDefault="0022045F" w:rsidP="00CF6F22">
            <w:pPr>
              <w:shd w:val="clear" w:color="auto" w:fill="C6D9F1" w:themeFill="text2" w:themeFillTint="33"/>
              <w:tabs>
                <w:tab w:val="left" w:pos="1701"/>
              </w:tabs>
              <w:spacing w:before="40" w:after="40" w:line="240" w:lineRule="auto"/>
              <w:rPr>
                <w:rFonts w:ascii="Verdana" w:hAnsi="Verdana"/>
                <w:color w:val="002060"/>
                <w:sz w:val="20"/>
                <w:szCs w:val="20"/>
              </w:rPr>
            </w:pPr>
            <w:r w:rsidRPr="003D2E52">
              <w:rPr>
                <w:rFonts w:ascii="Verdana" w:hAnsi="Verdana"/>
                <w:color w:val="002060"/>
                <w:sz w:val="20"/>
                <w:szCs w:val="20"/>
              </w:rPr>
              <w:t>Consider how you might prepare student representatives for the meetings. It is essential to the review that stu</w:t>
            </w:r>
            <w:r>
              <w:rPr>
                <w:rFonts w:ascii="Verdana" w:hAnsi="Verdana"/>
                <w:color w:val="002060"/>
                <w:sz w:val="20"/>
                <w:szCs w:val="20"/>
              </w:rPr>
              <w:t xml:space="preserve">dents are well </w:t>
            </w:r>
            <w:r w:rsidRPr="003D2E52">
              <w:rPr>
                <w:rFonts w:ascii="Verdana" w:hAnsi="Verdana"/>
                <w:color w:val="002060"/>
                <w:sz w:val="20"/>
                <w:szCs w:val="20"/>
              </w:rPr>
              <w:t xml:space="preserve">informed about the process. For this reason, they should receive a comprehensive briefing on the process and purpose of the review </w:t>
            </w:r>
            <w:r>
              <w:rPr>
                <w:rFonts w:ascii="Verdana" w:hAnsi="Verdana"/>
                <w:color w:val="002060"/>
                <w:sz w:val="20"/>
                <w:szCs w:val="20"/>
              </w:rPr>
              <w:t>and the kinds of questions the review t</w:t>
            </w:r>
            <w:r w:rsidRPr="003D2E52">
              <w:rPr>
                <w:rFonts w:ascii="Verdana" w:hAnsi="Verdana"/>
                <w:color w:val="002060"/>
                <w:sz w:val="20"/>
                <w:szCs w:val="20"/>
              </w:rPr>
              <w:t>eam may want to ask them. Without providing answers to questions that they might be asked, it is also important for those involved to have access to the RA, AIS and supporting evidence and know about the key issues highlighted.</w:t>
            </w:r>
          </w:p>
          <w:p w14:paraId="70347C71" w14:textId="05A883A6" w:rsidR="0022045F" w:rsidRPr="00CF6F22" w:rsidRDefault="00D27A3C" w:rsidP="00CF6F22">
            <w:pPr>
              <w:pStyle w:val="ListParagraph"/>
              <w:numPr>
                <w:ilvl w:val="0"/>
                <w:numId w:val="30"/>
              </w:numPr>
              <w:spacing w:after="60" w:line="240" w:lineRule="auto"/>
              <w:ind w:left="318" w:hanging="284"/>
              <w:contextualSpacing w:val="0"/>
              <w:rPr>
                <w:rStyle w:val="Hyperlink"/>
                <w:rFonts w:ascii="Verdana" w:hAnsi="Verdana"/>
                <w:color w:val="auto"/>
                <w:sz w:val="20"/>
                <w:szCs w:val="20"/>
                <w:u w:val="none"/>
              </w:rPr>
            </w:pPr>
            <w:hyperlink w:anchor="To_do_Think_who_will_be_at_Rview_Visit" w:history="1">
              <w:r w:rsidR="0022045F" w:rsidRPr="006E3FEF">
                <w:rPr>
                  <w:rStyle w:val="Hyperlink"/>
                  <w:rFonts w:ascii="Verdana" w:hAnsi="Verdana"/>
                  <w:sz w:val="20"/>
                  <w:szCs w:val="20"/>
                </w:rPr>
                <w:t>Think about who will be involved at the Review Visit.</w:t>
              </w:r>
            </w:hyperlink>
          </w:p>
          <w:p w14:paraId="21F482E0" w14:textId="5BA083B0" w:rsidR="0022045F" w:rsidRPr="00831C25" w:rsidRDefault="0022045F" w:rsidP="00831C25">
            <w:pPr>
              <w:shd w:val="clear" w:color="auto" w:fill="C6D9F1" w:themeFill="text2" w:themeFillTint="33"/>
              <w:tabs>
                <w:tab w:val="left" w:pos="1701"/>
              </w:tabs>
              <w:spacing w:before="40" w:after="40" w:line="240" w:lineRule="auto"/>
              <w:rPr>
                <w:rFonts w:ascii="Verdana" w:hAnsi="Verdana"/>
                <w:color w:val="002060"/>
                <w:sz w:val="20"/>
                <w:szCs w:val="20"/>
              </w:rPr>
            </w:pPr>
            <w:r>
              <w:rPr>
                <w:rFonts w:ascii="Verdana" w:hAnsi="Verdana"/>
                <w:color w:val="002060"/>
                <w:sz w:val="20"/>
                <w:szCs w:val="20"/>
              </w:rPr>
              <w:t>At the Review Visit, the</w:t>
            </w:r>
            <w:r w:rsidRPr="003D2E52">
              <w:rPr>
                <w:rFonts w:ascii="Verdana" w:hAnsi="Verdana"/>
                <w:color w:val="002060"/>
                <w:sz w:val="20"/>
                <w:szCs w:val="20"/>
              </w:rPr>
              <w:t xml:space="preserve"> review team will ask to meet one or more groups of students, very likely a group who are not formal student reps. The review team will identify the characteristics they’d like to see to support the exploration of the themes they’ve identified as a team, e.g. undergraduates, postgraduate taught/research, part-time students, distance learners. The students’ association can be asked to help identify the relevant students to talk to for this m</w:t>
            </w:r>
            <w:r>
              <w:rPr>
                <w:rFonts w:ascii="Verdana" w:hAnsi="Verdana"/>
                <w:color w:val="002060"/>
                <w:sz w:val="20"/>
                <w:szCs w:val="20"/>
              </w:rPr>
              <w:t>eeting. All students invited to</w:t>
            </w:r>
            <w:r w:rsidRPr="003D2E52">
              <w:rPr>
                <w:rFonts w:ascii="Verdana" w:hAnsi="Verdana"/>
                <w:color w:val="002060"/>
                <w:sz w:val="20"/>
                <w:szCs w:val="20"/>
              </w:rPr>
              <w:t xml:space="preserve"> these meetings should be contacted as soon as possible to ensure they can participate.</w:t>
            </w:r>
          </w:p>
        </w:tc>
      </w:tr>
      <w:tr w:rsidR="0022045F" w:rsidRPr="00794802" w14:paraId="1C7884EC" w14:textId="77777777" w:rsidTr="00A00AD9">
        <w:tc>
          <w:tcPr>
            <w:tcW w:w="14885" w:type="dxa"/>
            <w:tcBorders>
              <w:top w:val="single" w:sz="4" w:space="0" w:color="auto"/>
              <w:left w:val="single" w:sz="4" w:space="0" w:color="002060"/>
              <w:bottom w:val="single" w:sz="4" w:space="0" w:color="002060"/>
              <w:right w:val="single" w:sz="24" w:space="0" w:color="002060"/>
            </w:tcBorders>
            <w:shd w:val="clear" w:color="auto" w:fill="548DD4" w:themeFill="text2" w:themeFillTint="99"/>
          </w:tcPr>
          <w:p w14:paraId="64E5FBD4" w14:textId="72EB4944" w:rsidR="0022045F" w:rsidRDefault="0022045F" w:rsidP="00A00AD9">
            <w:pPr>
              <w:pStyle w:val="ListParagraph"/>
              <w:spacing w:after="0" w:line="240" w:lineRule="auto"/>
              <w:ind w:left="0"/>
              <w:rPr>
                <w:rFonts w:ascii="Verdana" w:hAnsi="Verdana"/>
                <w:b/>
                <w:color w:val="000000" w:themeColor="text1"/>
                <w:sz w:val="24"/>
                <w:szCs w:val="20"/>
              </w:rPr>
            </w:pPr>
            <w:r>
              <w:rPr>
                <w:rFonts w:ascii="Verdana" w:hAnsi="Verdana"/>
                <w:b/>
                <w:color w:val="000000" w:themeColor="text1"/>
                <w:sz w:val="24"/>
                <w:szCs w:val="20"/>
              </w:rPr>
              <w:lastRenderedPageBreak/>
              <w:t>ELIR Judgements and Reports</w:t>
            </w:r>
          </w:p>
          <w:p w14:paraId="1FCD27B1" w14:textId="37059A48" w:rsidR="0022045F" w:rsidRPr="00357A79" w:rsidRDefault="0022045F" w:rsidP="00A00AD9">
            <w:pPr>
              <w:spacing w:after="0" w:line="240" w:lineRule="auto"/>
              <w:ind w:left="34"/>
              <w:rPr>
                <w:rFonts w:ascii="Verdana" w:hAnsi="Verdana"/>
                <w:sz w:val="8"/>
                <w:szCs w:val="20"/>
              </w:rPr>
            </w:pPr>
            <w:r>
              <w:rPr>
                <w:rFonts w:ascii="Verdana" w:hAnsi="Verdana"/>
                <w:color w:val="000000" w:themeColor="text1"/>
                <w:sz w:val="24"/>
                <w:szCs w:val="20"/>
              </w:rPr>
              <w:t>Drafts sent 1 week after Review Visit. Published 16 weeks after Review Visit</w:t>
            </w:r>
          </w:p>
        </w:tc>
      </w:tr>
      <w:tr w:rsidR="0022045F" w:rsidRPr="00794802" w14:paraId="5FCA7AB5" w14:textId="77777777" w:rsidTr="00A00AD9">
        <w:tc>
          <w:tcPr>
            <w:tcW w:w="14885" w:type="dxa"/>
            <w:tcBorders>
              <w:top w:val="single" w:sz="4" w:space="0" w:color="002060"/>
              <w:left w:val="single" w:sz="4" w:space="0" w:color="002060"/>
              <w:bottom w:val="single" w:sz="4" w:space="0" w:color="002060"/>
              <w:right w:val="single" w:sz="24" w:space="0" w:color="002060"/>
            </w:tcBorders>
          </w:tcPr>
          <w:p w14:paraId="5FC2A1F6" w14:textId="77777777" w:rsidR="0022045F" w:rsidRPr="00357A79" w:rsidRDefault="0022045F" w:rsidP="00831C25">
            <w:pPr>
              <w:spacing w:after="0" w:line="240" w:lineRule="auto"/>
              <w:ind w:left="34"/>
              <w:rPr>
                <w:rFonts w:ascii="Verdana" w:hAnsi="Verdana"/>
                <w:sz w:val="8"/>
                <w:szCs w:val="20"/>
              </w:rPr>
            </w:pPr>
          </w:p>
          <w:p w14:paraId="4FC70FF2" w14:textId="1B66EC51" w:rsidR="0022045F" w:rsidRPr="00CF6F22" w:rsidRDefault="00D27A3C" w:rsidP="00831C25">
            <w:pPr>
              <w:pStyle w:val="ListParagraph"/>
              <w:numPr>
                <w:ilvl w:val="0"/>
                <w:numId w:val="30"/>
              </w:numPr>
              <w:spacing w:after="0" w:line="240" w:lineRule="auto"/>
              <w:ind w:left="318" w:hanging="284"/>
              <w:contextualSpacing w:val="0"/>
              <w:rPr>
                <w:rStyle w:val="Hyperlink"/>
                <w:rFonts w:ascii="Verdana" w:hAnsi="Verdana"/>
                <w:color w:val="auto"/>
                <w:sz w:val="20"/>
                <w:szCs w:val="20"/>
                <w:u w:val="none"/>
              </w:rPr>
            </w:pPr>
            <w:hyperlink w:anchor="To_do_Have_sight_of_draft_O_T_reports" w:history="1">
              <w:r w:rsidR="0022045F" w:rsidRPr="006E3FEF">
                <w:rPr>
                  <w:rStyle w:val="Hyperlink"/>
                  <w:rFonts w:ascii="Verdana" w:hAnsi="Verdana"/>
                  <w:sz w:val="20"/>
                  <w:szCs w:val="20"/>
                </w:rPr>
                <w:t>Have sight of draft Outcome Reports and Technical Reports.</w:t>
              </w:r>
            </w:hyperlink>
          </w:p>
          <w:p w14:paraId="5D3BCD58" w14:textId="32D00F85" w:rsidR="0022045F" w:rsidRPr="00CF6F22" w:rsidRDefault="0022045F" w:rsidP="00831C25">
            <w:pPr>
              <w:shd w:val="clear" w:color="auto" w:fill="C6D9F1" w:themeFill="text2" w:themeFillTint="33"/>
              <w:tabs>
                <w:tab w:val="left" w:pos="1701"/>
              </w:tabs>
              <w:spacing w:before="40" w:after="0" w:line="240" w:lineRule="auto"/>
              <w:rPr>
                <w:rFonts w:ascii="Verdana" w:hAnsi="Verdana"/>
                <w:b/>
                <w:color w:val="002060"/>
                <w:sz w:val="20"/>
                <w:szCs w:val="20"/>
              </w:rPr>
            </w:pPr>
            <w:r w:rsidRPr="00525D58">
              <w:rPr>
                <w:rFonts w:ascii="Verdana" w:hAnsi="Verdana"/>
                <w:color w:val="002060"/>
                <w:sz w:val="20"/>
                <w:szCs w:val="20"/>
              </w:rPr>
              <w:t>Find out when the institution is due to receive the draft reports and ensure you are available to comment. It is good practice for the students’ association to have sight of the draft reports and make comment where relevant. The institution has the opportunity to comment on the draft reports, to ensure they are factually accurate.</w:t>
            </w:r>
          </w:p>
          <w:p w14:paraId="22BB93FA" w14:textId="2071DDA0" w:rsidR="0022045F" w:rsidRPr="00CF6F22" w:rsidRDefault="00D27A3C" w:rsidP="00831C25">
            <w:pPr>
              <w:pStyle w:val="ListParagraph"/>
              <w:numPr>
                <w:ilvl w:val="0"/>
                <w:numId w:val="30"/>
              </w:numPr>
              <w:spacing w:after="0" w:line="240" w:lineRule="auto"/>
              <w:ind w:left="318" w:hanging="284"/>
              <w:contextualSpacing w:val="0"/>
              <w:rPr>
                <w:rStyle w:val="Hyperlink"/>
                <w:rFonts w:ascii="Verdana" w:hAnsi="Verdana"/>
                <w:color w:val="auto"/>
                <w:sz w:val="20"/>
                <w:szCs w:val="20"/>
                <w:u w:val="none"/>
              </w:rPr>
            </w:pPr>
            <w:hyperlink w:anchor="To_do_Communicating_review_outcomes_" w:history="1">
              <w:r w:rsidR="0022045F" w:rsidRPr="006E3FEF">
                <w:rPr>
                  <w:rStyle w:val="Hyperlink"/>
                  <w:rFonts w:ascii="Verdana" w:hAnsi="Verdana"/>
                  <w:sz w:val="20"/>
                  <w:szCs w:val="20"/>
                </w:rPr>
                <w:t>Communicate the review outcomes to students.</w:t>
              </w:r>
            </w:hyperlink>
          </w:p>
          <w:p w14:paraId="6AACFFD7" w14:textId="19FBA510" w:rsidR="0022045F" w:rsidRPr="00CF6F22" w:rsidRDefault="0022045F" w:rsidP="00831C25">
            <w:pPr>
              <w:shd w:val="clear" w:color="auto" w:fill="C6D9F1" w:themeFill="text2" w:themeFillTint="33"/>
              <w:tabs>
                <w:tab w:val="left" w:pos="1701"/>
              </w:tabs>
              <w:spacing w:before="40" w:after="0" w:line="240" w:lineRule="auto"/>
              <w:rPr>
                <w:rFonts w:ascii="Verdana" w:hAnsi="Verdana"/>
                <w:color w:val="002060"/>
                <w:sz w:val="20"/>
                <w:szCs w:val="20"/>
              </w:rPr>
            </w:pPr>
            <w:r w:rsidRPr="00525D58">
              <w:rPr>
                <w:rFonts w:ascii="Verdana" w:hAnsi="Verdana"/>
                <w:color w:val="002060"/>
                <w:sz w:val="20"/>
                <w:szCs w:val="20"/>
              </w:rPr>
              <w:t>It is very important to ensure that students are informed about the outcomes of the ELIR. Make sure that everyone in the s</w:t>
            </w:r>
            <w:r>
              <w:rPr>
                <w:rFonts w:ascii="Verdana" w:hAnsi="Verdana"/>
                <w:color w:val="002060"/>
                <w:sz w:val="20"/>
                <w:szCs w:val="20"/>
              </w:rPr>
              <w:t xml:space="preserve">tudents’ association is kept up </w:t>
            </w:r>
            <w:r w:rsidRPr="00525D58">
              <w:rPr>
                <w:rFonts w:ascii="Verdana" w:hAnsi="Verdana"/>
                <w:color w:val="002060"/>
                <w:sz w:val="20"/>
                <w:szCs w:val="20"/>
              </w:rPr>
              <w:t xml:space="preserve">to date. In particular, the Outcome Report should be shared with the whole </w:t>
            </w:r>
            <w:r>
              <w:rPr>
                <w:rFonts w:ascii="Verdana" w:hAnsi="Verdana"/>
                <w:color w:val="002060"/>
                <w:sz w:val="20"/>
                <w:szCs w:val="20"/>
              </w:rPr>
              <w:t>of the executive team and with school/faculty o</w:t>
            </w:r>
            <w:r w:rsidRPr="00525D58">
              <w:rPr>
                <w:rFonts w:ascii="Verdana" w:hAnsi="Verdana"/>
                <w:color w:val="002060"/>
                <w:sz w:val="20"/>
                <w:szCs w:val="20"/>
              </w:rPr>
              <w:t>fficers. You should also share this information with the st</w:t>
            </w:r>
            <w:r>
              <w:rPr>
                <w:rFonts w:ascii="Verdana" w:hAnsi="Verdana"/>
                <w:color w:val="002060"/>
                <w:sz w:val="20"/>
                <w:szCs w:val="20"/>
              </w:rPr>
              <w:t>udents who participated in the Review V</w:t>
            </w:r>
            <w:r w:rsidRPr="00525D58">
              <w:rPr>
                <w:rFonts w:ascii="Verdana" w:hAnsi="Verdana"/>
                <w:color w:val="002060"/>
                <w:sz w:val="20"/>
                <w:szCs w:val="20"/>
              </w:rPr>
              <w:t xml:space="preserve">isits so they can see how their participation had an impact on the review. </w:t>
            </w:r>
          </w:p>
          <w:bookmarkStart w:id="2" w:name="_Hlk518554702"/>
          <w:p w14:paraId="64BD6907" w14:textId="379A062D" w:rsidR="0022045F" w:rsidRDefault="0022045F" w:rsidP="00831C25">
            <w:pPr>
              <w:pStyle w:val="ListParagraph"/>
              <w:numPr>
                <w:ilvl w:val="0"/>
                <w:numId w:val="30"/>
              </w:numPr>
              <w:spacing w:after="0" w:line="240" w:lineRule="auto"/>
              <w:ind w:left="318" w:hanging="284"/>
              <w:contextualSpacing w:val="0"/>
              <w:rPr>
                <w:rFonts w:ascii="Verdana" w:hAnsi="Verdana"/>
                <w:sz w:val="20"/>
                <w:szCs w:val="20"/>
              </w:rPr>
            </w:pPr>
            <w:r>
              <w:rPr>
                <w:rFonts w:ascii="Verdana" w:hAnsi="Verdana"/>
                <w:sz w:val="20"/>
                <w:szCs w:val="20"/>
              </w:rPr>
              <w:fldChar w:fldCharType="begin"/>
            </w:r>
            <w:r>
              <w:rPr>
                <w:rFonts w:ascii="Verdana" w:hAnsi="Verdana"/>
                <w:sz w:val="20"/>
                <w:szCs w:val="20"/>
              </w:rPr>
              <w:instrText>HYPERLINK  \l "To_do_Consider_how_can_use_findings_"</w:instrText>
            </w:r>
            <w:r>
              <w:rPr>
                <w:rFonts w:ascii="Verdana" w:hAnsi="Verdana"/>
                <w:sz w:val="20"/>
                <w:szCs w:val="20"/>
              </w:rPr>
              <w:fldChar w:fldCharType="separate"/>
            </w:r>
            <w:r w:rsidRPr="006E3FEF">
              <w:rPr>
                <w:rStyle w:val="Hyperlink"/>
                <w:rFonts w:ascii="Verdana" w:hAnsi="Verdana"/>
                <w:sz w:val="20"/>
                <w:szCs w:val="20"/>
              </w:rPr>
              <w:t xml:space="preserve">Consider how you can use findings from ELIR </w:t>
            </w:r>
            <w:bookmarkEnd w:id="2"/>
            <w:r w:rsidRPr="006E3FEF">
              <w:rPr>
                <w:rStyle w:val="Hyperlink"/>
                <w:rFonts w:ascii="Verdana" w:hAnsi="Verdana"/>
                <w:sz w:val="20"/>
                <w:szCs w:val="20"/>
              </w:rPr>
              <w:t>for future learning and teaching activities/strategy.</w:t>
            </w:r>
            <w:r>
              <w:rPr>
                <w:rFonts w:ascii="Verdana" w:hAnsi="Verdana"/>
                <w:sz w:val="20"/>
                <w:szCs w:val="20"/>
              </w:rPr>
              <w:fldChar w:fldCharType="end"/>
            </w:r>
          </w:p>
          <w:p w14:paraId="1128A83A" w14:textId="31933AC8" w:rsidR="00A00AD9" w:rsidRPr="00831C25" w:rsidRDefault="0022045F" w:rsidP="00831C25">
            <w:pPr>
              <w:shd w:val="clear" w:color="auto" w:fill="C6D9F1" w:themeFill="text2" w:themeFillTint="33"/>
              <w:tabs>
                <w:tab w:val="left" w:pos="1701"/>
              </w:tabs>
              <w:spacing w:before="40" w:after="0" w:line="240" w:lineRule="auto"/>
              <w:rPr>
                <w:rFonts w:ascii="Verdana" w:hAnsi="Verdana"/>
                <w:color w:val="002060"/>
                <w:sz w:val="20"/>
                <w:szCs w:val="20"/>
              </w:rPr>
            </w:pPr>
            <w:r w:rsidRPr="00525D58">
              <w:rPr>
                <w:rFonts w:ascii="Verdana" w:hAnsi="Verdana"/>
                <w:color w:val="002060"/>
                <w:sz w:val="20"/>
                <w:szCs w:val="20"/>
              </w:rPr>
              <w:t>The outcomes of ELIR give students’ associations an excellent basis for working on developing learning and teaching activities. They should be considered in discussions moving forward, for example when agreeing updates to Student Partnership Agreements or equivalent. You should also consider how you might use the findings from ELIR wit</w:t>
            </w:r>
            <w:r>
              <w:rPr>
                <w:rFonts w:ascii="Verdana" w:hAnsi="Verdana"/>
                <w:color w:val="002060"/>
                <w:sz w:val="20"/>
                <w:szCs w:val="20"/>
              </w:rPr>
              <w:t>h your course reps, e.g.</w:t>
            </w:r>
            <w:r w:rsidRPr="00525D58">
              <w:rPr>
                <w:rFonts w:ascii="Verdana" w:hAnsi="Verdana"/>
                <w:color w:val="002060"/>
                <w:sz w:val="20"/>
                <w:szCs w:val="20"/>
              </w:rPr>
              <w:t xml:space="preserve"> think about ho</w:t>
            </w:r>
            <w:r>
              <w:rPr>
                <w:rFonts w:ascii="Verdana" w:hAnsi="Verdana"/>
                <w:color w:val="002060"/>
                <w:sz w:val="20"/>
                <w:szCs w:val="20"/>
              </w:rPr>
              <w:t xml:space="preserve">w you could incorporate some </w:t>
            </w:r>
            <w:r w:rsidRPr="00525D58">
              <w:rPr>
                <w:rFonts w:ascii="Verdana" w:hAnsi="Verdana"/>
                <w:color w:val="002060"/>
                <w:sz w:val="20"/>
                <w:szCs w:val="20"/>
              </w:rPr>
              <w:t xml:space="preserve">outcomes of the review into course rep training, conferences and other meetings. You may want to produce a short leaflet or video outlining the ELIR findings in an accessible way that could be used at course rep training or put on the VLE and students’ association website. </w:t>
            </w:r>
          </w:p>
        </w:tc>
      </w:tr>
      <w:tr w:rsidR="00A00AD9" w:rsidRPr="00794802" w14:paraId="21203E5E" w14:textId="77777777" w:rsidTr="00A00AD9">
        <w:tc>
          <w:tcPr>
            <w:tcW w:w="14885" w:type="dxa"/>
            <w:tcBorders>
              <w:top w:val="single" w:sz="4" w:space="0" w:color="002060"/>
              <w:left w:val="single" w:sz="4" w:space="0" w:color="002060"/>
              <w:bottom w:val="single" w:sz="4" w:space="0" w:color="002060"/>
              <w:right w:val="single" w:sz="24" w:space="0" w:color="002060"/>
            </w:tcBorders>
            <w:shd w:val="clear" w:color="auto" w:fill="548DD4" w:themeFill="text2" w:themeFillTint="99"/>
          </w:tcPr>
          <w:p w14:paraId="1E9D3214" w14:textId="62D07D67" w:rsidR="00A00AD9" w:rsidRDefault="00A00AD9" w:rsidP="00A00AD9">
            <w:pPr>
              <w:pStyle w:val="ListParagraph"/>
              <w:spacing w:after="0" w:line="240" w:lineRule="auto"/>
              <w:ind w:left="0"/>
              <w:rPr>
                <w:rFonts w:ascii="Verdana" w:hAnsi="Verdana"/>
                <w:b/>
                <w:color w:val="000000" w:themeColor="text1"/>
                <w:sz w:val="24"/>
                <w:szCs w:val="20"/>
              </w:rPr>
            </w:pPr>
            <w:r>
              <w:rPr>
                <w:rFonts w:ascii="Verdana" w:hAnsi="Verdana"/>
                <w:b/>
                <w:color w:val="000000" w:themeColor="text1"/>
                <w:sz w:val="24"/>
                <w:szCs w:val="20"/>
              </w:rPr>
              <w:t>Follow-up Reports</w:t>
            </w:r>
          </w:p>
          <w:p w14:paraId="0DB98497" w14:textId="0936A5EB" w:rsidR="00A00AD9" w:rsidRPr="00357A79" w:rsidRDefault="00A00AD9" w:rsidP="00A00AD9">
            <w:pPr>
              <w:spacing w:after="60" w:line="240" w:lineRule="auto"/>
              <w:ind w:left="34"/>
              <w:rPr>
                <w:rFonts w:ascii="Verdana" w:hAnsi="Verdana"/>
                <w:sz w:val="8"/>
                <w:szCs w:val="20"/>
              </w:rPr>
            </w:pPr>
            <w:r>
              <w:rPr>
                <w:rFonts w:ascii="Verdana" w:hAnsi="Verdana"/>
                <w:color w:val="000000" w:themeColor="text1"/>
                <w:sz w:val="24"/>
                <w:szCs w:val="20"/>
              </w:rPr>
              <w:t>1 year after Review Visit</w:t>
            </w:r>
          </w:p>
        </w:tc>
      </w:tr>
      <w:tr w:rsidR="00A00AD9" w:rsidRPr="00794802" w14:paraId="586FDF84" w14:textId="77777777" w:rsidTr="00A00AD9">
        <w:tc>
          <w:tcPr>
            <w:tcW w:w="14885" w:type="dxa"/>
            <w:tcBorders>
              <w:top w:val="single" w:sz="4" w:space="0" w:color="002060"/>
              <w:left w:val="single" w:sz="4" w:space="0" w:color="002060"/>
              <w:bottom w:val="single" w:sz="4" w:space="0" w:color="002060"/>
              <w:right w:val="single" w:sz="24" w:space="0" w:color="002060"/>
            </w:tcBorders>
          </w:tcPr>
          <w:p w14:paraId="2924B7DF" w14:textId="77777777" w:rsidR="00A00AD9" w:rsidRPr="00357A79" w:rsidRDefault="00A00AD9" w:rsidP="00831C25">
            <w:pPr>
              <w:spacing w:after="0" w:line="240" w:lineRule="auto"/>
              <w:ind w:left="34"/>
              <w:rPr>
                <w:rFonts w:ascii="Verdana" w:hAnsi="Verdana"/>
                <w:sz w:val="8"/>
                <w:szCs w:val="20"/>
              </w:rPr>
            </w:pPr>
          </w:p>
          <w:p w14:paraId="2288017A" w14:textId="46454207" w:rsidR="00A00AD9" w:rsidRPr="00CF6F22" w:rsidRDefault="00D27A3C" w:rsidP="00831C25">
            <w:pPr>
              <w:pStyle w:val="ListParagraph"/>
              <w:numPr>
                <w:ilvl w:val="0"/>
                <w:numId w:val="30"/>
              </w:numPr>
              <w:spacing w:after="0" w:line="240" w:lineRule="auto"/>
              <w:ind w:left="318" w:hanging="284"/>
              <w:contextualSpacing w:val="0"/>
              <w:rPr>
                <w:rStyle w:val="Hyperlink"/>
                <w:rFonts w:ascii="Verdana" w:hAnsi="Verdana"/>
                <w:color w:val="auto"/>
                <w:sz w:val="20"/>
                <w:szCs w:val="20"/>
                <w:u w:val="none"/>
              </w:rPr>
            </w:pPr>
            <w:hyperlink w:anchor="To_do_Engage_in_followup_activities_" w:history="1">
              <w:r w:rsidR="00A00AD9">
                <w:rPr>
                  <w:rStyle w:val="Hyperlink"/>
                  <w:rFonts w:ascii="Verdana" w:hAnsi="Verdana"/>
                  <w:sz w:val="20"/>
                  <w:szCs w:val="20"/>
                </w:rPr>
                <w:t>Engage in action planning and production of the ELIR Follow-up Report.</w:t>
              </w:r>
            </w:hyperlink>
          </w:p>
          <w:p w14:paraId="613E9E51" w14:textId="0DD4A457" w:rsidR="00A00AD9" w:rsidRPr="00CF6F22" w:rsidRDefault="00A00AD9" w:rsidP="00831C25">
            <w:pPr>
              <w:shd w:val="clear" w:color="auto" w:fill="C6D9F1" w:themeFill="text2" w:themeFillTint="33"/>
              <w:tabs>
                <w:tab w:val="left" w:pos="1701"/>
              </w:tabs>
              <w:spacing w:before="40" w:after="0" w:line="240" w:lineRule="auto"/>
              <w:rPr>
                <w:rFonts w:ascii="Verdana" w:hAnsi="Verdana"/>
                <w:color w:val="002060"/>
                <w:sz w:val="20"/>
                <w:szCs w:val="20"/>
              </w:rPr>
            </w:pPr>
            <w:r w:rsidRPr="00525D58">
              <w:rPr>
                <w:rFonts w:ascii="Verdana" w:hAnsi="Verdana"/>
                <w:color w:val="002060"/>
                <w:sz w:val="20"/>
                <w:szCs w:val="20"/>
              </w:rPr>
              <w:t>Student representatives and the students’ association s</w:t>
            </w:r>
            <w:r>
              <w:rPr>
                <w:rFonts w:ascii="Verdana" w:hAnsi="Verdana"/>
                <w:color w:val="002060"/>
                <w:sz w:val="20"/>
                <w:szCs w:val="20"/>
              </w:rPr>
              <w:t>hould be involved in any follow-</w:t>
            </w:r>
            <w:r w:rsidRPr="00525D58">
              <w:rPr>
                <w:rFonts w:ascii="Verdana" w:hAnsi="Verdana"/>
                <w:color w:val="002060"/>
                <w:sz w:val="20"/>
                <w:szCs w:val="20"/>
              </w:rPr>
              <w:t>up activity from the ELIR and in preparing the Follow-up Report. This is an opportunity for the students’ association to reflect on what has happened since the ELIR – what has gone well and what the institution could be doing better.</w:t>
            </w:r>
            <w:r>
              <w:rPr>
                <w:rFonts w:ascii="Verdana" w:hAnsi="Verdana"/>
                <w:color w:val="002060"/>
                <w:sz w:val="20"/>
                <w:szCs w:val="20"/>
              </w:rPr>
              <w:t xml:space="preserve">  </w:t>
            </w:r>
            <w:r w:rsidR="00831C25">
              <w:rPr>
                <w:rFonts w:ascii="Verdana" w:hAnsi="Verdana"/>
                <w:color w:val="002060"/>
                <w:sz w:val="20"/>
                <w:szCs w:val="20"/>
              </w:rPr>
              <w:br/>
            </w:r>
            <w:r w:rsidRPr="00525D58">
              <w:rPr>
                <w:rFonts w:ascii="Verdana" w:hAnsi="Verdana"/>
                <w:color w:val="002060"/>
                <w:sz w:val="20"/>
                <w:szCs w:val="20"/>
              </w:rPr>
              <w:t>Each institution will have working groups and committees to take forward the outcomes and recommendations from ELIR. It is essential that these groups include student representation and communicate regularly with the students’ association</w:t>
            </w:r>
            <w:r>
              <w:rPr>
                <w:rFonts w:ascii="Verdana" w:hAnsi="Verdana"/>
                <w:color w:val="002060"/>
                <w:sz w:val="20"/>
                <w:szCs w:val="20"/>
              </w:rPr>
              <w:t>,</w:t>
            </w:r>
            <w:r w:rsidRPr="00525D58">
              <w:rPr>
                <w:rFonts w:ascii="Verdana" w:hAnsi="Verdana"/>
                <w:color w:val="002060"/>
                <w:sz w:val="20"/>
                <w:szCs w:val="20"/>
              </w:rPr>
              <w:t xml:space="preserve"> to ensure student engagement in shaping enhancement prioritie</w:t>
            </w:r>
            <w:r>
              <w:rPr>
                <w:rFonts w:ascii="Verdana" w:hAnsi="Verdana"/>
                <w:color w:val="002060"/>
                <w:sz w:val="20"/>
                <w:szCs w:val="20"/>
              </w:rPr>
              <w:t>s and the development of follow-</w:t>
            </w:r>
            <w:r w:rsidRPr="00525D58">
              <w:rPr>
                <w:rFonts w:ascii="Verdana" w:hAnsi="Verdana"/>
                <w:color w:val="002060"/>
                <w:sz w:val="20"/>
                <w:szCs w:val="20"/>
              </w:rPr>
              <w:t>up actions and reports. It is also recommended that a students’ association staff member attends these groups. A staff member will ensure continuity when there is student officer changeover and will support the student representative in their role. Some institutions choose to set up short-life working groups to work on specific areas for development highlighted in their ELIR. If there are lots of working groups, it is important to think about capacity and who is best placed to attend. Depending on the nature of the working group, it may be more appropr</w:t>
            </w:r>
            <w:r>
              <w:rPr>
                <w:rFonts w:ascii="Verdana" w:hAnsi="Verdana"/>
                <w:color w:val="002060"/>
                <w:sz w:val="20"/>
                <w:szCs w:val="20"/>
              </w:rPr>
              <w:t>iate for an executive officer, school/faculty o</w:t>
            </w:r>
            <w:r w:rsidRPr="00525D58">
              <w:rPr>
                <w:rFonts w:ascii="Verdana" w:hAnsi="Verdana"/>
                <w:color w:val="002060"/>
                <w:sz w:val="20"/>
                <w:szCs w:val="20"/>
              </w:rPr>
              <w:t>fficer or course rep to attend</w:t>
            </w:r>
            <w:r>
              <w:rPr>
                <w:rFonts w:ascii="Verdana" w:hAnsi="Verdana"/>
                <w:color w:val="002060"/>
                <w:sz w:val="20"/>
                <w:szCs w:val="20"/>
              </w:rPr>
              <w:t>, rather than the sabbatical o</w:t>
            </w:r>
            <w:r w:rsidRPr="00525D58">
              <w:rPr>
                <w:rFonts w:ascii="Verdana" w:hAnsi="Verdana"/>
                <w:color w:val="002060"/>
                <w:sz w:val="20"/>
                <w:szCs w:val="20"/>
              </w:rPr>
              <w:t xml:space="preserve">fficer. </w:t>
            </w:r>
          </w:p>
          <w:p w14:paraId="3FCF59D9" w14:textId="521B0FFF" w:rsidR="00A00AD9" w:rsidRPr="00CF6F22" w:rsidRDefault="00D27A3C" w:rsidP="00831C25">
            <w:pPr>
              <w:pStyle w:val="ListParagraph"/>
              <w:numPr>
                <w:ilvl w:val="0"/>
                <w:numId w:val="30"/>
              </w:numPr>
              <w:spacing w:after="0" w:line="240" w:lineRule="auto"/>
              <w:ind w:left="318" w:hanging="284"/>
              <w:contextualSpacing w:val="0"/>
              <w:rPr>
                <w:rStyle w:val="Hyperlink"/>
                <w:rFonts w:ascii="Verdana" w:hAnsi="Verdana"/>
                <w:color w:val="auto"/>
                <w:sz w:val="20"/>
                <w:szCs w:val="20"/>
                <w:u w:val="none"/>
              </w:rPr>
            </w:pPr>
            <w:hyperlink w:anchor="To_do_New_officer_handover" w:history="1">
              <w:r w:rsidR="00A00AD9" w:rsidRPr="006E3FEF">
                <w:rPr>
                  <w:rStyle w:val="Hyperlink"/>
                  <w:rFonts w:ascii="Verdana" w:hAnsi="Verdana"/>
                  <w:sz w:val="20"/>
                  <w:szCs w:val="20"/>
                </w:rPr>
                <w:t>New officer handover.</w:t>
              </w:r>
            </w:hyperlink>
          </w:p>
          <w:p w14:paraId="56AD7BB6" w14:textId="2E343BF5" w:rsidR="00A00AD9" w:rsidRPr="00DF1443" w:rsidRDefault="00A00AD9" w:rsidP="00DF1443">
            <w:pPr>
              <w:shd w:val="clear" w:color="auto" w:fill="C6D9F1" w:themeFill="text2" w:themeFillTint="33"/>
              <w:tabs>
                <w:tab w:val="left" w:pos="1701"/>
              </w:tabs>
              <w:spacing w:before="40" w:after="0" w:line="240" w:lineRule="auto"/>
              <w:rPr>
                <w:rFonts w:ascii="Verdana" w:hAnsi="Verdana"/>
                <w:color w:val="002060"/>
                <w:sz w:val="20"/>
                <w:szCs w:val="20"/>
              </w:rPr>
            </w:pPr>
            <w:r w:rsidRPr="00525D58">
              <w:rPr>
                <w:rFonts w:ascii="Verdana" w:hAnsi="Verdana"/>
                <w:color w:val="002060"/>
                <w:sz w:val="20"/>
                <w:szCs w:val="20"/>
              </w:rPr>
              <w:t>The outcomes of the ELIR will inform the institution’s priorities over the coming years, along with its own strategic and operational plans</w:t>
            </w:r>
            <w:r>
              <w:rPr>
                <w:rFonts w:ascii="Verdana" w:hAnsi="Verdana"/>
                <w:color w:val="002060"/>
                <w:sz w:val="20"/>
                <w:szCs w:val="20"/>
              </w:rPr>
              <w:t>,</w:t>
            </w:r>
            <w:r w:rsidRPr="00525D58">
              <w:rPr>
                <w:rFonts w:ascii="Verdana" w:hAnsi="Verdana"/>
                <w:color w:val="002060"/>
                <w:sz w:val="20"/>
                <w:szCs w:val="20"/>
              </w:rPr>
              <w:t xml:space="preserve"> so it is essential that information acquired through the review process is accurately communicated to the new officer team. The students’ association should take time to plan the process and outcomes of ELIR into their handover, so that the incoming officers can align their own priorities with the institution’s where appropriate. Make sure that</w:t>
            </w:r>
            <w:r>
              <w:rPr>
                <w:rFonts w:ascii="Verdana" w:hAnsi="Verdana"/>
                <w:color w:val="002060"/>
                <w:sz w:val="20"/>
                <w:szCs w:val="20"/>
              </w:rPr>
              <w:t xml:space="preserve"> new officers meet</w:t>
            </w:r>
            <w:r w:rsidRPr="00525D58">
              <w:rPr>
                <w:rFonts w:ascii="Verdana" w:hAnsi="Verdana"/>
                <w:color w:val="002060"/>
                <w:sz w:val="20"/>
                <w:szCs w:val="20"/>
              </w:rPr>
              <w:t xml:space="preserve"> with institutional staff involved in the ELIR as part of their induction. This will ensure that relationships with relevant staff are established early on in student re</w:t>
            </w:r>
            <w:r>
              <w:rPr>
                <w:rFonts w:ascii="Verdana" w:hAnsi="Verdana"/>
                <w:color w:val="002060"/>
                <w:sz w:val="20"/>
                <w:szCs w:val="20"/>
              </w:rPr>
              <w:t>presentatives’ terms</w:t>
            </w:r>
            <w:r w:rsidRPr="00525D58">
              <w:rPr>
                <w:rFonts w:ascii="Verdana" w:hAnsi="Verdana"/>
                <w:color w:val="002060"/>
                <w:sz w:val="20"/>
                <w:szCs w:val="20"/>
              </w:rPr>
              <w:t xml:space="preserve"> in office.</w:t>
            </w:r>
          </w:p>
        </w:tc>
      </w:tr>
      <w:tr w:rsidR="00A00AD9" w:rsidRPr="00794802" w14:paraId="4B23BE11" w14:textId="77777777" w:rsidTr="00A00AD9">
        <w:tc>
          <w:tcPr>
            <w:tcW w:w="14885" w:type="dxa"/>
            <w:tcBorders>
              <w:top w:val="single" w:sz="4" w:space="0" w:color="002060"/>
              <w:left w:val="single" w:sz="4" w:space="0" w:color="002060"/>
              <w:bottom w:val="single" w:sz="4" w:space="0" w:color="002060"/>
              <w:right w:val="single" w:sz="24" w:space="0" w:color="002060"/>
            </w:tcBorders>
            <w:shd w:val="clear" w:color="auto" w:fill="548DD4" w:themeFill="text2" w:themeFillTint="99"/>
          </w:tcPr>
          <w:p w14:paraId="64A41341" w14:textId="1153E8D9" w:rsidR="00A00AD9" w:rsidRDefault="00A00AD9" w:rsidP="00A00AD9">
            <w:pPr>
              <w:pStyle w:val="ListParagraph"/>
              <w:spacing w:after="0" w:line="240" w:lineRule="auto"/>
              <w:ind w:left="0"/>
              <w:rPr>
                <w:rFonts w:ascii="Verdana" w:hAnsi="Verdana"/>
                <w:b/>
                <w:color w:val="000000" w:themeColor="text1"/>
                <w:sz w:val="24"/>
                <w:szCs w:val="20"/>
              </w:rPr>
            </w:pPr>
            <w:r>
              <w:rPr>
                <w:rFonts w:ascii="Verdana" w:hAnsi="Verdana"/>
                <w:b/>
                <w:color w:val="000000" w:themeColor="text1"/>
                <w:sz w:val="24"/>
                <w:szCs w:val="20"/>
              </w:rPr>
              <w:lastRenderedPageBreak/>
              <w:t>Annual Discussions</w:t>
            </w:r>
          </w:p>
          <w:p w14:paraId="550C1237" w14:textId="253632B1" w:rsidR="00A00AD9" w:rsidRPr="00357A79" w:rsidRDefault="00A00AD9" w:rsidP="00A00AD9">
            <w:pPr>
              <w:spacing w:after="60" w:line="240" w:lineRule="auto"/>
              <w:ind w:left="34"/>
              <w:rPr>
                <w:rFonts w:ascii="Verdana" w:hAnsi="Verdana"/>
                <w:sz w:val="8"/>
                <w:szCs w:val="20"/>
              </w:rPr>
            </w:pPr>
            <w:r>
              <w:rPr>
                <w:rFonts w:ascii="Verdana" w:hAnsi="Verdana"/>
                <w:color w:val="000000" w:themeColor="text1"/>
                <w:sz w:val="24"/>
                <w:szCs w:val="20"/>
              </w:rPr>
              <w:t>Yearly</w:t>
            </w:r>
          </w:p>
        </w:tc>
      </w:tr>
      <w:tr w:rsidR="00A00AD9" w:rsidRPr="00794802" w14:paraId="38A83C25" w14:textId="77777777" w:rsidTr="00A00AD9">
        <w:tc>
          <w:tcPr>
            <w:tcW w:w="14885" w:type="dxa"/>
            <w:tcBorders>
              <w:top w:val="single" w:sz="4" w:space="0" w:color="002060"/>
              <w:left w:val="single" w:sz="4" w:space="0" w:color="002060"/>
              <w:bottom w:val="single" w:sz="24" w:space="0" w:color="002060"/>
              <w:right w:val="single" w:sz="24" w:space="0" w:color="002060"/>
            </w:tcBorders>
          </w:tcPr>
          <w:p w14:paraId="3B34DEF6" w14:textId="77777777" w:rsidR="00A00AD9" w:rsidRPr="00357A79" w:rsidRDefault="00A00AD9" w:rsidP="00357A79">
            <w:pPr>
              <w:spacing w:after="60" w:line="240" w:lineRule="auto"/>
              <w:ind w:left="34"/>
              <w:rPr>
                <w:rFonts w:ascii="Verdana" w:hAnsi="Verdana"/>
                <w:sz w:val="8"/>
                <w:szCs w:val="20"/>
              </w:rPr>
            </w:pPr>
          </w:p>
          <w:p w14:paraId="688F785C" w14:textId="67A21BF4" w:rsidR="00A00AD9" w:rsidRPr="00CF6F22" w:rsidRDefault="00D27A3C" w:rsidP="00794802">
            <w:pPr>
              <w:pStyle w:val="ListParagraph"/>
              <w:numPr>
                <w:ilvl w:val="0"/>
                <w:numId w:val="30"/>
              </w:numPr>
              <w:spacing w:after="60" w:line="240" w:lineRule="auto"/>
              <w:ind w:left="318" w:hanging="284"/>
              <w:contextualSpacing w:val="0"/>
              <w:rPr>
                <w:rStyle w:val="Hyperlink"/>
                <w:rFonts w:ascii="Verdana" w:hAnsi="Verdana"/>
                <w:color w:val="auto"/>
                <w:sz w:val="20"/>
                <w:szCs w:val="20"/>
                <w:u w:val="none"/>
              </w:rPr>
            </w:pPr>
            <w:hyperlink w:anchor="To_do_Engage_with_the_annual_discussion" w:history="1">
              <w:r w:rsidR="00A00AD9">
                <w:rPr>
                  <w:rStyle w:val="Hyperlink"/>
                  <w:rFonts w:ascii="Verdana" w:hAnsi="Verdana"/>
                  <w:sz w:val="20"/>
                  <w:szCs w:val="20"/>
                </w:rPr>
                <w:t>Engage with Annual Discussions, contribute topics for consideration.</w:t>
              </w:r>
            </w:hyperlink>
          </w:p>
          <w:p w14:paraId="58F5C961" w14:textId="77777777" w:rsidR="00A00AD9" w:rsidRPr="00212D24" w:rsidRDefault="00A00AD9" w:rsidP="00CF6F22">
            <w:pPr>
              <w:shd w:val="clear" w:color="auto" w:fill="C6D9F1" w:themeFill="text2" w:themeFillTint="33"/>
              <w:tabs>
                <w:tab w:val="left" w:pos="1701"/>
              </w:tabs>
              <w:spacing w:after="0" w:line="240" w:lineRule="auto"/>
              <w:rPr>
                <w:rFonts w:ascii="Verdana" w:hAnsi="Verdana"/>
                <w:color w:val="002060"/>
                <w:sz w:val="20"/>
                <w:szCs w:val="20"/>
              </w:rPr>
            </w:pPr>
            <w:r w:rsidRPr="00212D24">
              <w:rPr>
                <w:rFonts w:ascii="Verdana" w:hAnsi="Verdana"/>
                <w:color w:val="002060"/>
                <w:sz w:val="20"/>
                <w:szCs w:val="20"/>
              </w:rPr>
              <w:t>Meaningful student engagement is integral to the Annual Discussion process and there will be an increa</w:t>
            </w:r>
            <w:r>
              <w:rPr>
                <w:rFonts w:ascii="Verdana" w:hAnsi="Verdana"/>
                <w:color w:val="002060"/>
                <w:sz w:val="20"/>
                <w:szCs w:val="20"/>
              </w:rPr>
              <w:t xml:space="preserve">sed emphasis on this in ELIR 4. </w:t>
            </w:r>
            <w:r w:rsidRPr="00212D24">
              <w:rPr>
                <w:rFonts w:ascii="Verdana" w:hAnsi="Verdana"/>
                <w:color w:val="002060"/>
                <w:sz w:val="20"/>
                <w:szCs w:val="20"/>
              </w:rPr>
              <w:t>Students’ associations and student representatives will have the opportunity to contribute topics for consideration at the meeting, ensuring that discussions are relevant to student priorities and concerns. Institutions are asked to raise agenda items that the students’ association wish to discuss. Which member of staff at your institution is co-ordinat</w:t>
            </w:r>
            <w:r>
              <w:rPr>
                <w:rFonts w:ascii="Verdana" w:hAnsi="Verdana"/>
                <w:color w:val="002060"/>
                <w:sz w:val="20"/>
                <w:szCs w:val="20"/>
              </w:rPr>
              <w:t>ing the meeting? Talk to them</w:t>
            </w:r>
            <w:r w:rsidRPr="00212D24">
              <w:rPr>
                <w:rFonts w:ascii="Verdana" w:hAnsi="Verdana"/>
                <w:color w:val="002060"/>
                <w:sz w:val="20"/>
                <w:szCs w:val="20"/>
              </w:rPr>
              <w:t xml:space="preserve"> to make sure you’re clear about the purpose of the meeting and discuss any items that the students’ association would like to raise. </w:t>
            </w:r>
          </w:p>
          <w:p w14:paraId="683B75C9" w14:textId="77777777" w:rsidR="00A00AD9" w:rsidRPr="00DE6FFE" w:rsidRDefault="00A00AD9" w:rsidP="00CF6F22">
            <w:pPr>
              <w:shd w:val="clear" w:color="auto" w:fill="C6D9F1" w:themeFill="text2" w:themeFillTint="33"/>
              <w:tabs>
                <w:tab w:val="left" w:pos="1701"/>
              </w:tabs>
              <w:spacing w:after="0" w:line="240" w:lineRule="auto"/>
              <w:rPr>
                <w:rFonts w:ascii="Verdana" w:hAnsi="Verdana"/>
                <w:color w:val="002060"/>
                <w:sz w:val="16"/>
                <w:szCs w:val="20"/>
              </w:rPr>
            </w:pPr>
          </w:p>
          <w:p w14:paraId="59DAC444" w14:textId="6EB83BBE" w:rsidR="00A00AD9" w:rsidRPr="00831C25" w:rsidRDefault="00A00AD9" w:rsidP="00831C25">
            <w:pPr>
              <w:shd w:val="clear" w:color="auto" w:fill="C6D9F1" w:themeFill="text2" w:themeFillTint="33"/>
              <w:tabs>
                <w:tab w:val="left" w:pos="1701"/>
              </w:tabs>
              <w:spacing w:after="0" w:line="240" w:lineRule="auto"/>
              <w:rPr>
                <w:rFonts w:ascii="Verdana" w:hAnsi="Verdana"/>
                <w:color w:val="002060"/>
                <w:sz w:val="20"/>
                <w:szCs w:val="20"/>
              </w:rPr>
            </w:pPr>
            <w:r w:rsidRPr="00212D24">
              <w:rPr>
                <w:rFonts w:ascii="Verdana" w:hAnsi="Verdana"/>
                <w:color w:val="002060"/>
                <w:sz w:val="20"/>
                <w:szCs w:val="20"/>
              </w:rPr>
              <w:t>One of the potential items for discussion will be how the institution works in partnership with its students to enhance the</w:t>
            </w:r>
            <w:r>
              <w:rPr>
                <w:rFonts w:ascii="Verdana" w:hAnsi="Verdana"/>
                <w:color w:val="002060"/>
                <w:sz w:val="20"/>
                <w:szCs w:val="20"/>
              </w:rPr>
              <w:t xml:space="preserve"> student experience, e.g.</w:t>
            </w:r>
            <w:r w:rsidRPr="00212D24">
              <w:rPr>
                <w:rFonts w:ascii="Verdana" w:hAnsi="Verdana"/>
                <w:color w:val="002060"/>
                <w:sz w:val="20"/>
                <w:szCs w:val="20"/>
              </w:rPr>
              <w:t xml:space="preserve"> the areas of development work detailed in a Student Partnership Agreement. This is a chance to highli</w:t>
            </w:r>
            <w:r>
              <w:rPr>
                <w:rFonts w:ascii="Verdana" w:hAnsi="Verdana"/>
                <w:color w:val="002060"/>
                <w:sz w:val="20"/>
                <w:szCs w:val="20"/>
              </w:rPr>
              <w:t xml:space="preserve">ght what you’ve been working on </w:t>
            </w:r>
            <w:r w:rsidRPr="00212D24">
              <w:rPr>
                <w:rFonts w:ascii="Verdana" w:hAnsi="Verdana"/>
                <w:color w:val="002060"/>
                <w:sz w:val="20"/>
                <w:szCs w:val="20"/>
              </w:rPr>
              <w:t>and what you would like the institution to prioritise over the coming year. The meeting is also a valuable opportunity for the students’ association to establish contact with QAA Scotland and is a key date in the calendar of ongoing quality enhancement activity at the institution.</w:t>
            </w:r>
          </w:p>
        </w:tc>
      </w:tr>
    </w:tbl>
    <w:p w14:paraId="308666A5" w14:textId="77777777" w:rsidR="00794802" w:rsidRPr="00A8699B" w:rsidRDefault="00794802" w:rsidP="00831C25">
      <w:pPr>
        <w:tabs>
          <w:tab w:val="left" w:pos="1701"/>
        </w:tabs>
        <w:spacing w:after="0" w:line="240" w:lineRule="auto"/>
        <w:rPr>
          <w:rFonts w:ascii="Verdana" w:eastAsia="Calibri" w:hAnsi="Verdana"/>
          <w:sz w:val="34"/>
        </w:rPr>
      </w:pPr>
    </w:p>
    <w:sectPr w:rsidR="00794802" w:rsidRPr="00A8699B" w:rsidSect="00831C25">
      <w:headerReference w:type="default" r:id="rId11"/>
      <w:footerReference w:type="default" r:id="rId12"/>
      <w:endnotePr>
        <w:numFmt w:val="decimal"/>
      </w:endnotePr>
      <w:pgSz w:w="16838" w:h="11906" w:orient="landscape"/>
      <w:pgMar w:top="720" w:right="720" w:bottom="426"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41DC0" w14:textId="77777777" w:rsidR="00D27A3C" w:rsidRDefault="00D27A3C" w:rsidP="001C69D1">
      <w:pPr>
        <w:spacing w:after="0" w:line="240" w:lineRule="auto"/>
      </w:pPr>
      <w:r>
        <w:separator/>
      </w:r>
    </w:p>
  </w:endnote>
  <w:endnote w:type="continuationSeparator" w:id="0">
    <w:p w14:paraId="6E92B336" w14:textId="77777777" w:rsidR="00D27A3C" w:rsidRDefault="00D27A3C" w:rsidP="001C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6816" w14:textId="77777777" w:rsidR="0038348B" w:rsidRDefault="0038348B" w:rsidP="004015F1">
    <w:pPr>
      <w:pStyle w:val="Footer"/>
      <w:jc w:val="center"/>
    </w:pPr>
  </w:p>
  <w:p w14:paraId="25E96817" w14:textId="77777777" w:rsidR="0038348B" w:rsidRDefault="0038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604DC" w14:textId="77777777" w:rsidR="00D27A3C" w:rsidRDefault="00D27A3C" w:rsidP="001C69D1">
      <w:pPr>
        <w:spacing w:after="0" w:line="240" w:lineRule="auto"/>
      </w:pPr>
      <w:r>
        <w:separator/>
      </w:r>
    </w:p>
  </w:footnote>
  <w:footnote w:type="continuationSeparator" w:id="0">
    <w:p w14:paraId="4799A769" w14:textId="77777777" w:rsidR="00D27A3C" w:rsidRDefault="00D27A3C" w:rsidP="001C6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6812" w14:textId="6844A5F6" w:rsidR="0038348B" w:rsidRDefault="00515808" w:rsidP="00466850">
    <w:pPr>
      <w:pStyle w:val="Header"/>
      <w:ind w:left="-1418"/>
    </w:pPr>
    <w:r>
      <w:rPr>
        <w:noProof/>
        <w:lang w:eastAsia="en-GB"/>
      </w:rPr>
      <w:drawing>
        <wp:anchor distT="0" distB="0" distL="114300" distR="114300" simplePos="0" relativeHeight="251658240" behindDoc="1" locked="0" layoutInCell="1" allowOverlap="1" wp14:anchorId="3A4734C1" wp14:editId="206D7131">
          <wp:simplePos x="0" y="0"/>
          <wp:positionH relativeFrom="column">
            <wp:posOffset>8785860</wp:posOffset>
          </wp:positionH>
          <wp:positionV relativeFrom="paragraph">
            <wp:posOffset>0</wp:posOffset>
          </wp:positionV>
          <wp:extent cx="1400175" cy="604520"/>
          <wp:effectExtent l="0" t="0" r="9525" b="5080"/>
          <wp:wrapTight wrapText="bothSides">
            <wp:wrapPolygon edited="0">
              <wp:start x="0" y="0"/>
              <wp:lineTo x="0" y="21101"/>
              <wp:lineTo x="21453" y="21101"/>
              <wp:lineTo x="21453" y="0"/>
              <wp:lineTo x="0" y="0"/>
            </wp:wrapPolygon>
          </wp:wrapTight>
          <wp:docPr id="52" name="Picture 52" descr="SPARQS_OUTLIN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QS_OUTLINE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04520"/>
                  </a:xfrm>
                  <a:prstGeom prst="rect">
                    <a:avLst/>
                  </a:prstGeom>
                  <a:noFill/>
                  <a:ln>
                    <a:noFill/>
                  </a:ln>
                </pic:spPr>
              </pic:pic>
            </a:graphicData>
          </a:graphic>
        </wp:anchor>
      </w:drawing>
    </w:r>
    <w:r w:rsidR="0038348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8A1"/>
    <w:multiLevelType w:val="hybridMultilevel"/>
    <w:tmpl w:val="D6702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24F9C"/>
    <w:multiLevelType w:val="hybridMultilevel"/>
    <w:tmpl w:val="B4C21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E79C1"/>
    <w:multiLevelType w:val="hybridMultilevel"/>
    <w:tmpl w:val="4BA21B8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 w15:restartNumberingAfterBreak="0">
    <w:nsid w:val="079F0CFF"/>
    <w:multiLevelType w:val="hybridMultilevel"/>
    <w:tmpl w:val="7F10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16673"/>
    <w:multiLevelType w:val="hybridMultilevel"/>
    <w:tmpl w:val="21FC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A4F92"/>
    <w:multiLevelType w:val="hybridMultilevel"/>
    <w:tmpl w:val="38A8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4502A"/>
    <w:multiLevelType w:val="hybridMultilevel"/>
    <w:tmpl w:val="395493D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0D4119EB"/>
    <w:multiLevelType w:val="hybridMultilevel"/>
    <w:tmpl w:val="17B24CCA"/>
    <w:lvl w:ilvl="0" w:tplc="08090001">
      <w:start w:val="1"/>
      <w:numFmt w:val="bullet"/>
      <w:lvlText w:val=""/>
      <w:lvlJc w:val="left"/>
      <w:pPr>
        <w:ind w:left="4027" w:hanging="360"/>
      </w:pPr>
      <w:rPr>
        <w:rFonts w:ascii="Symbol" w:hAnsi="Symbol" w:hint="default"/>
      </w:rPr>
    </w:lvl>
    <w:lvl w:ilvl="1" w:tplc="08090003" w:tentative="1">
      <w:start w:val="1"/>
      <w:numFmt w:val="bullet"/>
      <w:lvlText w:val="o"/>
      <w:lvlJc w:val="left"/>
      <w:pPr>
        <w:ind w:left="4747" w:hanging="360"/>
      </w:pPr>
      <w:rPr>
        <w:rFonts w:ascii="Courier New" w:hAnsi="Courier New" w:cs="Courier New" w:hint="default"/>
      </w:rPr>
    </w:lvl>
    <w:lvl w:ilvl="2" w:tplc="08090005" w:tentative="1">
      <w:start w:val="1"/>
      <w:numFmt w:val="bullet"/>
      <w:lvlText w:val=""/>
      <w:lvlJc w:val="left"/>
      <w:pPr>
        <w:ind w:left="5467" w:hanging="360"/>
      </w:pPr>
      <w:rPr>
        <w:rFonts w:ascii="Wingdings" w:hAnsi="Wingdings" w:hint="default"/>
      </w:rPr>
    </w:lvl>
    <w:lvl w:ilvl="3" w:tplc="08090001" w:tentative="1">
      <w:start w:val="1"/>
      <w:numFmt w:val="bullet"/>
      <w:lvlText w:val=""/>
      <w:lvlJc w:val="left"/>
      <w:pPr>
        <w:ind w:left="6187" w:hanging="360"/>
      </w:pPr>
      <w:rPr>
        <w:rFonts w:ascii="Symbol" w:hAnsi="Symbol" w:hint="default"/>
      </w:rPr>
    </w:lvl>
    <w:lvl w:ilvl="4" w:tplc="08090003" w:tentative="1">
      <w:start w:val="1"/>
      <w:numFmt w:val="bullet"/>
      <w:lvlText w:val="o"/>
      <w:lvlJc w:val="left"/>
      <w:pPr>
        <w:ind w:left="6907" w:hanging="360"/>
      </w:pPr>
      <w:rPr>
        <w:rFonts w:ascii="Courier New" w:hAnsi="Courier New" w:cs="Courier New" w:hint="default"/>
      </w:rPr>
    </w:lvl>
    <w:lvl w:ilvl="5" w:tplc="08090005" w:tentative="1">
      <w:start w:val="1"/>
      <w:numFmt w:val="bullet"/>
      <w:lvlText w:val=""/>
      <w:lvlJc w:val="left"/>
      <w:pPr>
        <w:ind w:left="7627" w:hanging="360"/>
      </w:pPr>
      <w:rPr>
        <w:rFonts w:ascii="Wingdings" w:hAnsi="Wingdings" w:hint="default"/>
      </w:rPr>
    </w:lvl>
    <w:lvl w:ilvl="6" w:tplc="08090001" w:tentative="1">
      <w:start w:val="1"/>
      <w:numFmt w:val="bullet"/>
      <w:lvlText w:val=""/>
      <w:lvlJc w:val="left"/>
      <w:pPr>
        <w:ind w:left="8347" w:hanging="360"/>
      </w:pPr>
      <w:rPr>
        <w:rFonts w:ascii="Symbol" w:hAnsi="Symbol" w:hint="default"/>
      </w:rPr>
    </w:lvl>
    <w:lvl w:ilvl="7" w:tplc="08090003" w:tentative="1">
      <w:start w:val="1"/>
      <w:numFmt w:val="bullet"/>
      <w:lvlText w:val="o"/>
      <w:lvlJc w:val="left"/>
      <w:pPr>
        <w:ind w:left="9067" w:hanging="360"/>
      </w:pPr>
      <w:rPr>
        <w:rFonts w:ascii="Courier New" w:hAnsi="Courier New" w:cs="Courier New" w:hint="default"/>
      </w:rPr>
    </w:lvl>
    <w:lvl w:ilvl="8" w:tplc="08090005" w:tentative="1">
      <w:start w:val="1"/>
      <w:numFmt w:val="bullet"/>
      <w:lvlText w:val=""/>
      <w:lvlJc w:val="left"/>
      <w:pPr>
        <w:ind w:left="9787" w:hanging="360"/>
      </w:pPr>
      <w:rPr>
        <w:rFonts w:ascii="Wingdings" w:hAnsi="Wingdings" w:hint="default"/>
      </w:rPr>
    </w:lvl>
  </w:abstractNum>
  <w:abstractNum w:abstractNumId="8" w15:restartNumberingAfterBreak="0">
    <w:nsid w:val="0DEF3A09"/>
    <w:multiLevelType w:val="hybridMultilevel"/>
    <w:tmpl w:val="9A787DE2"/>
    <w:lvl w:ilvl="0" w:tplc="F652663C">
      <w:start w:val="1"/>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81EEA"/>
    <w:multiLevelType w:val="hybridMultilevel"/>
    <w:tmpl w:val="5746A1F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171A7805"/>
    <w:multiLevelType w:val="hybridMultilevel"/>
    <w:tmpl w:val="FCB0ADF2"/>
    <w:lvl w:ilvl="0" w:tplc="550AE4B8">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923EE"/>
    <w:multiLevelType w:val="hybridMultilevel"/>
    <w:tmpl w:val="3AD0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82219"/>
    <w:multiLevelType w:val="hybridMultilevel"/>
    <w:tmpl w:val="AC30279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2BE35326"/>
    <w:multiLevelType w:val="hybridMultilevel"/>
    <w:tmpl w:val="2AB0003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2D752951"/>
    <w:multiLevelType w:val="hybridMultilevel"/>
    <w:tmpl w:val="8A9E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00A57"/>
    <w:multiLevelType w:val="hybridMultilevel"/>
    <w:tmpl w:val="CF84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26663"/>
    <w:multiLevelType w:val="hybridMultilevel"/>
    <w:tmpl w:val="79788EB6"/>
    <w:lvl w:ilvl="0" w:tplc="6CFEC340">
      <w:numFmt w:val="bullet"/>
      <w:lvlText w:val="•"/>
      <w:lvlJc w:val="left"/>
      <w:pPr>
        <w:ind w:left="1440" w:hanging="720"/>
      </w:pPr>
      <w:rPr>
        <w:rFonts w:ascii="Verdana" w:eastAsiaTheme="minorHAns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BB4EB5"/>
    <w:multiLevelType w:val="hybridMultilevel"/>
    <w:tmpl w:val="7C0AED0E"/>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3F2779DB"/>
    <w:multiLevelType w:val="hybridMultilevel"/>
    <w:tmpl w:val="1B9A2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54AA1"/>
    <w:multiLevelType w:val="hybridMultilevel"/>
    <w:tmpl w:val="8732109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0" w15:restartNumberingAfterBreak="0">
    <w:nsid w:val="483A1C1D"/>
    <w:multiLevelType w:val="hybridMultilevel"/>
    <w:tmpl w:val="812284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0E4414"/>
    <w:multiLevelType w:val="hybridMultilevel"/>
    <w:tmpl w:val="088C41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80D32CB"/>
    <w:multiLevelType w:val="hybridMultilevel"/>
    <w:tmpl w:val="88EC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10934"/>
    <w:multiLevelType w:val="hybridMultilevel"/>
    <w:tmpl w:val="7502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5227C"/>
    <w:multiLevelType w:val="hybridMultilevel"/>
    <w:tmpl w:val="6A48B00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15:restartNumberingAfterBreak="0">
    <w:nsid w:val="6D1169A8"/>
    <w:multiLevelType w:val="hybridMultilevel"/>
    <w:tmpl w:val="1C9E461C"/>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15:restartNumberingAfterBreak="0">
    <w:nsid w:val="6F6C49DD"/>
    <w:multiLevelType w:val="hybridMultilevel"/>
    <w:tmpl w:val="CFEC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B7AFE"/>
    <w:multiLevelType w:val="hybridMultilevel"/>
    <w:tmpl w:val="51D6DC46"/>
    <w:lvl w:ilvl="0" w:tplc="08090001">
      <w:start w:val="1"/>
      <w:numFmt w:val="bullet"/>
      <w:lvlText w:val=""/>
      <w:lvlJc w:val="left"/>
      <w:pPr>
        <w:ind w:left="2421" w:hanging="360"/>
      </w:pPr>
      <w:rPr>
        <w:rFonts w:ascii="Symbol" w:hAnsi="Symbol"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15:restartNumberingAfterBreak="0">
    <w:nsid w:val="704E362E"/>
    <w:multiLevelType w:val="hybridMultilevel"/>
    <w:tmpl w:val="5E58CF2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9" w15:restartNumberingAfterBreak="0">
    <w:nsid w:val="707B7D6E"/>
    <w:multiLevelType w:val="hybridMultilevel"/>
    <w:tmpl w:val="67F0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C5281"/>
    <w:multiLevelType w:val="hybridMultilevel"/>
    <w:tmpl w:val="A5DE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071C8"/>
    <w:multiLevelType w:val="hybridMultilevel"/>
    <w:tmpl w:val="9E4E90B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2" w15:restartNumberingAfterBreak="0">
    <w:nsid w:val="7F227D47"/>
    <w:multiLevelType w:val="hybridMultilevel"/>
    <w:tmpl w:val="D23E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0"/>
  </w:num>
  <w:num w:numId="5">
    <w:abstractNumId w:val="20"/>
  </w:num>
  <w:num w:numId="6">
    <w:abstractNumId w:val="23"/>
  </w:num>
  <w:num w:numId="7">
    <w:abstractNumId w:val="29"/>
  </w:num>
  <w:num w:numId="8">
    <w:abstractNumId w:val="11"/>
  </w:num>
  <w:num w:numId="9">
    <w:abstractNumId w:val="10"/>
  </w:num>
  <w:num w:numId="10">
    <w:abstractNumId w:val="24"/>
  </w:num>
  <w:num w:numId="11">
    <w:abstractNumId w:val="12"/>
  </w:num>
  <w:num w:numId="12">
    <w:abstractNumId w:val="4"/>
  </w:num>
  <w:num w:numId="13">
    <w:abstractNumId w:val="3"/>
  </w:num>
  <w:num w:numId="14">
    <w:abstractNumId w:val="26"/>
  </w:num>
  <w:num w:numId="15">
    <w:abstractNumId w:val="15"/>
  </w:num>
  <w:num w:numId="16">
    <w:abstractNumId w:val="9"/>
  </w:num>
  <w:num w:numId="17">
    <w:abstractNumId w:val="31"/>
  </w:num>
  <w:num w:numId="18">
    <w:abstractNumId w:val="2"/>
  </w:num>
  <w:num w:numId="19">
    <w:abstractNumId w:val="14"/>
  </w:num>
  <w:num w:numId="20">
    <w:abstractNumId w:val="8"/>
  </w:num>
  <w:num w:numId="21">
    <w:abstractNumId w:val="7"/>
  </w:num>
  <w:num w:numId="22">
    <w:abstractNumId w:val="13"/>
  </w:num>
  <w:num w:numId="23">
    <w:abstractNumId w:val="19"/>
  </w:num>
  <w:num w:numId="24">
    <w:abstractNumId w:val="6"/>
  </w:num>
  <w:num w:numId="25">
    <w:abstractNumId w:val="22"/>
  </w:num>
  <w:num w:numId="26">
    <w:abstractNumId w:val="32"/>
  </w:num>
  <w:num w:numId="27">
    <w:abstractNumId w:val="28"/>
  </w:num>
  <w:num w:numId="28">
    <w:abstractNumId w:val="21"/>
  </w:num>
  <w:num w:numId="29">
    <w:abstractNumId w:val="25"/>
  </w:num>
  <w:num w:numId="30">
    <w:abstractNumId w:val="1"/>
  </w:num>
  <w:num w:numId="31">
    <w:abstractNumId w:val="30"/>
  </w:num>
  <w:num w:numId="32">
    <w:abstractNumId w:val="27"/>
  </w:num>
  <w:num w:numId="3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24"/>
    <w:rsid w:val="0000624B"/>
    <w:rsid w:val="00010489"/>
    <w:rsid w:val="00012EED"/>
    <w:rsid w:val="0001392E"/>
    <w:rsid w:val="00016D20"/>
    <w:rsid w:val="00024BDA"/>
    <w:rsid w:val="00026A75"/>
    <w:rsid w:val="00027FF1"/>
    <w:rsid w:val="0003224D"/>
    <w:rsid w:val="00033920"/>
    <w:rsid w:val="00037800"/>
    <w:rsid w:val="000418D6"/>
    <w:rsid w:val="0004510A"/>
    <w:rsid w:val="00045206"/>
    <w:rsid w:val="00045487"/>
    <w:rsid w:val="00050EDA"/>
    <w:rsid w:val="00051445"/>
    <w:rsid w:val="0005193E"/>
    <w:rsid w:val="000654E8"/>
    <w:rsid w:val="00066839"/>
    <w:rsid w:val="000678A5"/>
    <w:rsid w:val="0007709B"/>
    <w:rsid w:val="00077F43"/>
    <w:rsid w:val="000808BC"/>
    <w:rsid w:val="000815C6"/>
    <w:rsid w:val="00083CE9"/>
    <w:rsid w:val="00085637"/>
    <w:rsid w:val="000856A2"/>
    <w:rsid w:val="00087018"/>
    <w:rsid w:val="0009009B"/>
    <w:rsid w:val="00092090"/>
    <w:rsid w:val="000A1C9C"/>
    <w:rsid w:val="000A2B81"/>
    <w:rsid w:val="000A6B3E"/>
    <w:rsid w:val="000A72A7"/>
    <w:rsid w:val="000A7B5F"/>
    <w:rsid w:val="000B1D60"/>
    <w:rsid w:val="000B26E0"/>
    <w:rsid w:val="000B5121"/>
    <w:rsid w:val="000C0906"/>
    <w:rsid w:val="000C163C"/>
    <w:rsid w:val="000C19A0"/>
    <w:rsid w:val="000C1A20"/>
    <w:rsid w:val="000C33BE"/>
    <w:rsid w:val="000C371B"/>
    <w:rsid w:val="000C554B"/>
    <w:rsid w:val="000D2221"/>
    <w:rsid w:val="000D44F8"/>
    <w:rsid w:val="000D4731"/>
    <w:rsid w:val="000D527C"/>
    <w:rsid w:val="000D5B2D"/>
    <w:rsid w:val="000E43DC"/>
    <w:rsid w:val="000E5BF0"/>
    <w:rsid w:val="000E7B85"/>
    <w:rsid w:val="000F029A"/>
    <w:rsid w:val="000F035C"/>
    <w:rsid w:val="000F0BDC"/>
    <w:rsid w:val="000F1988"/>
    <w:rsid w:val="000F23DD"/>
    <w:rsid w:val="000F7B71"/>
    <w:rsid w:val="00101390"/>
    <w:rsid w:val="00102C71"/>
    <w:rsid w:val="00104EFB"/>
    <w:rsid w:val="0010503C"/>
    <w:rsid w:val="001063E6"/>
    <w:rsid w:val="00121D81"/>
    <w:rsid w:val="00124DD5"/>
    <w:rsid w:val="00125D0A"/>
    <w:rsid w:val="00130469"/>
    <w:rsid w:val="00131815"/>
    <w:rsid w:val="001332DF"/>
    <w:rsid w:val="00135B71"/>
    <w:rsid w:val="001366AD"/>
    <w:rsid w:val="00142ED8"/>
    <w:rsid w:val="001437AF"/>
    <w:rsid w:val="0014477C"/>
    <w:rsid w:val="00147CC4"/>
    <w:rsid w:val="0015084D"/>
    <w:rsid w:val="00151FB1"/>
    <w:rsid w:val="00152215"/>
    <w:rsid w:val="00153C01"/>
    <w:rsid w:val="00160622"/>
    <w:rsid w:val="00161100"/>
    <w:rsid w:val="00161182"/>
    <w:rsid w:val="001621EF"/>
    <w:rsid w:val="001631BE"/>
    <w:rsid w:val="0016585C"/>
    <w:rsid w:val="00165A74"/>
    <w:rsid w:val="00166F4D"/>
    <w:rsid w:val="00170454"/>
    <w:rsid w:val="00182B85"/>
    <w:rsid w:val="00185209"/>
    <w:rsid w:val="00190329"/>
    <w:rsid w:val="0019534D"/>
    <w:rsid w:val="0019621C"/>
    <w:rsid w:val="0019640C"/>
    <w:rsid w:val="00197115"/>
    <w:rsid w:val="001A20D9"/>
    <w:rsid w:val="001B6E9E"/>
    <w:rsid w:val="001C0ACB"/>
    <w:rsid w:val="001C0D2A"/>
    <w:rsid w:val="001C69D1"/>
    <w:rsid w:val="001D2562"/>
    <w:rsid w:val="001D6D2C"/>
    <w:rsid w:val="001E02B3"/>
    <w:rsid w:val="001E04E0"/>
    <w:rsid w:val="001E0AF7"/>
    <w:rsid w:val="001E635F"/>
    <w:rsid w:val="001E70D6"/>
    <w:rsid w:val="001E7917"/>
    <w:rsid w:val="001F1F54"/>
    <w:rsid w:val="001F345F"/>
    <w:rsid w:val="001F3942"/>
    <w:rsid w:val="001F3B03"/>
    <w:rsid w:val="001F6C26"/>
    <w:rsid w:val="001F713F"/>
    <w:rsid w:val="002031A3"/>
    <w:rsid w:val="0020347E"/>
    <w:rsid w:val="00203C84"/>
    <w:rsid w:val="002062A1"/>
    <w:rsid w:val="002077F9"/>
    <w:rsid w:val="00207969"/>
    <w:rsid w:val="002118FE"/>
    <w:rsid w:val="00212D24"/>
    <w:rsid w:val="00212E83"/>
    <w:rsid w:val="0022045F"/>
    <w:rsid w:val="00223529"/>
    <w:rsid w:val="0022449D"/>
    <w:rsid w:val="002262B8"/>
    <w:rsid w:val="0023113C"/>
    <w:rsid w:val="002320CE"/>
    <w:rsid w:val="00233232"/>
    <w:rsid w:val="00233E7B"/>
    <w:rsid w:val="00241B80"/>
    <w:rsid w:val="002558FC"/>
    <w:rsid w:val="00262E1F"/>
    <w:rsid w:val="002638BF"/>
    <w:rsid w:val="00263A10"/>
    <w:rsid w:val="00266A39"/>
    <w:rsid w:val="00274B11"/>
    <w:rsid w:val="00275948"/>
    <w:rsid w:val="0028069D"/>
    <w:rsid w:val="00281B90"/>
    <w:rsid w:val="00282136"/>
    <w:rsid w:val="0028269F"/>
    <w:rsid w:val="00285675"/>
    <w:rsid w:val="00290BB3"/>
    <w:rsid w:val="00291675"/>
    <w:rsid w:val="00294D91"/>
    <w:rsid w:val="0029505D"/>
    <w:rsid w:val="00296C56"/>
    <w:rsid w:val="002A2677"/>
    <w:rsid w:val="002A2D71"/>
    <w:rsid w:val="002A3624"/>
    <w:rsid w:val="002A4934"/>
    <w:rsid w:val="002B094E"/>
    <w:rsid w:val="002B596A"/>
    <w:rsid w:val="002C3648"/>
    <w:rsid w:val="002C413C"/>
    <w:rsid w:val="002C4CDA"/>
    <w:rsid w:val="002D12C1"/>
    <w:rsid w:val="002D57D0"/>
    <w:rsid w:val="002D582C"/>
    <w:rsid w:val="002E0DD6"/>
    <w:rsid w:val="002E12D8"/>
    <w:rsid w:val="002E2380"/>
    <w:rsid w:val="002F14EF"/>
    <w:rsid w:val="002F2E2A"/>
    <w:rsid w:val="002F414A"/>
    <w:rsid w:val="002F56E8"/>
    <w:rsid w:val="002F5763"/>
    <w:rsid w:val="002F7A98"/>
    <w:rsid w:val="0030166F"/>
    <w:rsid w:val="00302024"/>
    <w:rsid w:val="0030258F"/>
    <w:rsid w:val="00306FAB"/>
    <w:rsid w:val="00311E15"/>
    <w:rsid w:val="0031214C"/>
    <w:rsid w:val="00312285"/>
    <w:rsid w:val="00314322"/>
    <w:rsid w:val="003178D7"/>
    <w:rsid w:val="003214AA"/>
    <w:rsid w:val="00322BED"/>
    <w:rsid w:val="00324F62"/>
    <w:rsid w:val="00333D61"/>
    <w:rsid w:val="003361C7"/>
    <w:rsid w:val="003425F7"/>
    <w:rsid w:val="00342BD3"/>
    <w:rsid w:val="003439A5"/>
    <w:rsid w:val="0034540C"/>
    <w:rsid w:val="00346819"/>
    <w:rsid w:val="00346A18"/>
    <w:rsid w:val="0035547A"/>
    <w:rsid w:val="00356197"/>
    <w:rsid w:val="00357A79"/>
    <w:rsid w:val="003610ED"/>
    <w:rsid w:val="003645F4"/>
    <w:rsid w:val="00365128"/>
    <w:rsid w:val="0036701F"/>
    <w:rsid w:val="003702F4"/>
    <w:rsid w:val="00371F48"/>
    <w:rsid w:val="0037376E"/>
    <w:rsid w:val="00373FDD"/>
    <w:rsid w:val="0038348B"/>
    <w:rsid w:val="003842BC"/>
    <w:rsid w:val="003870B9"/>
    <w:rsid w:val="003912B7"/>
    <w:rsid w:val="00392945"/>
    <w:rsid w:val="00395B67"/>
    <w:rsid w:val="003A382A"/>
    <w:rsid w:val="003A4031"/>
    <w:rsid w:val="003A6499"/>
    <w:rsid w:val="003B5211"/>
    <w:rsid w:val="003C3353"/>
    <w:rsid w:val="003C4321"/>
    <w:rsid w:val="003C7C7A"/>
    <w:rsid w:val="003D2E52"/>
    <w:rsid w:val="003D342A"/>
    <w:rsid w:val="003E05CF"/>
    <w:rsid w:val="003E2B2D"/>
    <w:rsid w:val="003E4916"/>
    <w:rsid w:val="003F05B7"/>
    <w:rsid w:val="003F4CE1"/>
    <w:rsid w:val="003F5151"/>
    <w:rsid w:val="003F53AC"/>
    <w:rsid w:val="003F670E"/>
    <w:rsid w:val="003F695C"/>
    <w:rsid w:val="004005FA"/>
    <w:rsid w:val="004015F1"/>
    <w:rsid w:val="0040250C"/>
    <w:rsid w:val="00407B83"/>
    <w:rsid w:val="004119A1"/>
    <w:rsid w:val="004132A1"/>
    <w:rsid w:val="00413B63"/>
    <w:rsid w:val="0042084B"/>
    <w:rsid w:val="00426938"/>
    <w:rsid w:val="00426D6C"/>
    <w:rsid w:val="00427F9A"/>
    <w:rsid w:val="00430272"/>
    <w:rsid w:val="004308C3"/>
    <w:rsid w:val="00434F98"/>
    <w:rsid w:val="004350C6"/>
    <w:rsid w:val="00436531"/>
    <w:rsid w:val="00440B56"/>
    <w:rsid w:val="004467B2"/>
    <w:rsid w:val="00446921"/>
    <w:rsid w:val="00447310"/>
    <w:rsid w:val="00447344"/>
    <w:rsid w:val="0045124A"/>
    <w:rsid w:val="00451B60"/>
    <w:rsid w:val="00452294"/>
    <w:rsid w:val="00452602"/>
    <w:rsid w:val="004536CF"/>
    <w:rsid w:val="00456297"/>
    <w:rsid w:val="00456E72"/>
    <w:rsid w:val="0045748B"/>
    <w:rsid w:val="00461169"/>
    <w:rsid w:val="004622DD"/>
    <w:rsid w:val="0046273A"/>
    <w:rsid w:val="00464BB6"/>
    <w:rsid w:val="00466850"/>
    <w:rsid w:val="00471926"/>
    <w:rsid w:val="00473069"/>
    <w:rsid w:val="00473444"/>
    <w:rsid w:val="00474F28"/>
    <w:rsid w:val="00484E4F"/>
    <w:rsid w:val="00486A95"/>
    <w:rsid w:val="004901EC"/>
    <w:rsid w:val="00491131"/>
    <w:rsid w:val="004977F9"/>
    <w:rsid w:val="004A0F8D"/>
    <w:rsid w:val="004A2D4A"/>
    <w:rsid w:val="004A4123"/>
    <w:rsid w:val="004A44A9"/>
    <w:rsid w:val="004A4C49"/>
    <w:rsid w:val="004A7538"/>
    <w:rsid w:val="004C102B"/>
    <w:rsid w:val="004C1D4D"/>
    <w:rsid w:val="004C3418"/>
    <w:rsid w:val="004C4B6D"/>
    <w:rsid w:val="004D136D"/>
    <w:rsid w:val="004D26D3"/>
    <w:rsid w:val="004D295B"/>
    <w:rsid w:val="004D29CE"/>
    <w:rsid w:val="004D3D8E"/>
    <w:rsid w:val="004D563C"/>
    <w:rsid w:val="004D68AC"/>
    <w:rsid w:val="004D7AC1"/>
    <w:rsid w:val="004E0A20"/>
    <w:rsid w:val="004E5924"/>
    <w:rsid w:val="004E7A8E"/>
    <w:rsid w:val="004F2742"/>
    <w:rsid w:val="004F67A6"/>
    <w:rsid w:val="0050421F"/>
    <w:rsid w:val="00506640"/>
    <w:rsid w:val="0051567A"/>
    <w:rsid w:val="00515808"/>
    <w:rsid w:val="00515AB2"/>
    <w:rsid w:val="00517552"/>
    <w:rsid w:val="00521D88"/>
    <w:rsid w:val="00525D58"/>
    <w:rsid w:val="00526014"/>
    <w:rsid w:val="00526323"/>
    <w:rsid w:val="00526CF8"/>
    <w:rsid w:val="005340E1"/>
    <w:rsid w:val="00535DED"/>
    <w:rsid w:val="005368DE"/>
    <w:rsid w:val="00537690"/>
    <w:rsid w:val="005437F2"/>
    <w:rsid w:val="005535B3"/>
    <w:rsid w:val="00556A44"/>
    <w:rsid w:val="005603AE"/>
    <w:rsid w:val="00563970"/>
    <w:rsid w:val="0056433B"/>
    <w:rsid w:val="0056485A"/>
    <w:rsid w:val="00565D66"/>
    <w:rsid w:val="005667CC"/>
    <w:rsid w:val="00567F78"/>
    <w:rsid w:val="00570CFF"/>
    <w:rsid w:val="00572349"/>
    <w:rsid w:val="00572DA5"/>
    <w:rsid w:val="005734E1"/>
    <w:rsid w:val="0057377A"/>
    <w:rsid w:val="005819FB"/>
    <w:rsid w:val="005964BD"/>
    <w:rsid w:val="00596FD4"/>
    <w:rsid w:val="005A0135"/>
    <w:rsid w:val="005A33D7"/>
    <w:rsid w:val="005A4C22"/>
    <w:rsid w:val="005A5484"/>
    <w:rsid w:val="005B09BD"/>
    <w:rsid w:val="005B1125"/>
    <w:rsid w:val="005B115F"/>
    <w:rsid w:val="005B14B9"/>
    <w:rsid w:val="005B2397"/>
    <w:rsid w:val="005C25CB"/>
    <w:rsid w:val="005C340A"/>
    <w:rsid w:val="005C4417"/>
    <w:rsid w:val="005C4665"/>
    <w:rsid w:val="005C4BC1"/>
    <w:rsid w:val="005C5F3A"/>
    <w:rsid w:val="005D39DC"/>
    <w:rsid w:val="005D64CF"/>
    <w:rsid w:val="005E04FE"/>
    <w:rsid w:val="005E05C2"/>
    <w:rsid w:val="005E30B5"/>
    <w:rsid w:val="005E4B74"/>
    <w:rsid w:val="005E784D"/>
    <w:rsid w:val="005F4B3F"/>
    <w:rsid w:val="005F56E6"/>
    <w:rsid w:val="005F5C3C"/>
    <w:rsid w:val="005F5D10"/>
    <w:rsid w:val="005F7EA9"/>
    <w:rsid w:val="00604BE2"/>
    <w:rsid w:val="006057C7"/>
    <w:rsid w:val="00606833"/>
    <w:rsid w:val="006109A3"/>
    <w:rsid w:val="00613DCD"/>
    <w:rsid w:val="00620A51"/>
    <w:rsid w:val="00630AC0"/>
    <w:rsid w:val="00631BD2"/>
    <w:rsid w:val="0064101A"/>
    <w:rsid w:val="00641437"/>
    <w:rsid w:val="00642977"/>
    <w:rsid w:val="00644930"/>
    <w:rsid w:val="00646BCE"/>
    <w:rsid w:val="00646DB4"/>
    <w:rsid w:val="00647C0A"/>
    <w:rsid w:val="00647CFB"/>
    <w:rsid w:val="00651445"/>
    <w:rsid w:val="0065783F"/>
    <w:rsid w:val="00657928"/>
    <w:rsid w:val="00657FFD"/>
    <w:rsid w:val="00660B43"/>
    <w:rsid w:val="006702B9"/>
    <w:rsid w:val="00670806"/>
    <w:rsid w:val="0067411C"/>
    <w:rsid w:val="006743A9"/>
    <w:rsid w:val="00675531"/>
    <w:rsid w:val="0068160F"/>
    <w:rsid w:val="00683903"/>
    <w:rsid w:val="006865BF"/>
    <w:rsid w:val="00687ED7"/>
    <w:rsid w:val="00691338"/>
    <w:rsid w:val="006936B3"/>
    <w:rsid w:val="00693826"/>
    <w:rsid w:val="00695647"/>
    <w:rsid w:val="006A04FA"/>
    <w:rsid w:val="006A7296"/>
    <w:rsid w:val="006B08D8"/>
    <w:rsid w:val="006B2441"/>
    <w:rsid w:val="006B317E"/>
    <w:rsid w:val="006B5BE1"/>
    <w:rsid w:val="006B5E40"/>
    <w:rsid w:val="006B6CD8"/>
    <w:rsid w:val="006B7320"/>
    <w:rsid w:val="006B7DDE"/>
    <w:rsid w:val="006C45B0"/>
    <w:rsid w:val="006C475A"/>
    <w:rsid w:val="006C6BAF"/>
    <w:rsid w:val="006D0A17"/>
    <w:rsid w:val="006D16F9"/>
    <w:rsid w:val="006D2212"/>
    <w:rsid w:val="006D5163"/>
    <w:rsid w:val="006D7E2F"/>
    <w:rsid w:val="006D7FDB"/>
    <w:rsid w:val="006E095C"/>
    <w:rsid w:val="006E1583"/>
    <w:rsid w:val="006E3FEF"/>
    <w:rsid w:val="006E5AC2"/>
    <w:rsid w:val="006E71E8"/>
    <w:rsid w:val="006E767C"/>
    <w:rsid w:val="006F12BD"/>
    <w:rsid w:val="006F242A"/>
    <w:rsid w:val="006F4B46"/>
    <w:rsid w:val="006F4B9B"/>
    <w:rsid w:val="006F5557"/>
    <w:rsid w:val="006F713A"/>
    <w:rsid w:val="00701103"/>
    <w:rsid w:val="0070495A"/>
    <w:rsid w:val="00710D7A"/>
    <w:rsid w:val="0071338E"/>
    <w:rsid w:val="007149E9"/>
    <w:rsid w:val="00715421"/>
    <w:rsid w:val="00715BC2"/>
    <w:rsid w:val="0072132C"/>
    <w:rsid w:val="007217C0"/>
    <w:rsid w:val="00725229"/>
    <w:rsid w:val="007316B0"/>
    <w:rsid w:val="0073218F"/>
    <w:rsid w:val="00732879"/>
    <w:rsid w:val="0073452A"/>
    <w:rsid w:val="00734C55"/>
    <w:rsid w:val="00737C0F"/>
    <w:rsid w:val="00740451"/>
    <w:rsid w:val="00740EC3"/>
    <w:rsid w:val="00746E43"/>
    <w:rsid w:val="00751B69"/>
    <w:rsid w:val="00751E51"/>
    <w:rsid w:val="0075279C"/>
    <w:rsid w:val="00753022"/>
    <w:rsid w:val="0075323A"/>
    <w:rsid w:val="00753766"/>
    <w:rsid w:val="007543D5"/>
    <w:rsid w:val="007546B0"/>
    <w:rsid w:val="00756BA5"/>
    <w:rsid w:val="00757641"/>
    <w:rsid w:val="0076419A"/>
    <w:rsid w:val="00764537"/>
    <w:rsid w:val="007661D9"/>
    <w:rsid w:val="0077135F"/>
    <w:rsid w:val="007753F3"/>
    <w:rsid w:val="00775B6B"/>
    <w:rsid w:val="00780F5C"/>
    <w:rsid w:val="0079154F"/>
    <w:rsid w:val="007930DD"/>
    <w:rsid w:val="00794802"/>
    <w:rsid w:val="007959A5"/>
    <w:rsid w:val="007A07CE"/>
    <w:rsid w:val="007A1011"/>
    <w:rsid w:val="007A15F1"/>
    <w:rsid w:val="007A44BF"/>
    <w:rsid w:val="007B08F2"/>
    <w:rsid w:val="007B1706"/>
    <w:rsid w:val="007B3F8E"/>
    <w:rsid w:val="007B41B9"/>
    <w:rsid w:val="007B53BD"/>
    <w:rsid w:val="007B5874"/>
    <w:rsid w:val="007B707E"/>
    <w:rsid w:val="007C05FB"/>
    <w:rsid w:val="007C2E8C"/>
    <w:rsid w:val="007C3B50"/>
    <w:rsid w:val="007C4A52"/>
    <w:rsid w:val="007D0097"/>
    <w:rsid w:val="007D320E"/>
    <w:rsid w:val="007E0F40"/>
    <w:rsid w:val="007E1152"/>
    <w:rsid w:val="007E124A"/>
    <w:rsid w:val="007E1D24"/>
    <w:rsid w:val="007E1FCA"/>
    <w:rsid w:val="007F12E3"/>
    <w:rsid w:val="007F3E93"/>
    <w:rsid w:val="007F4FD3"/>
    <w:rsid w:val="007F6231"/>
    <w:rsid w:val="00800CCD"/>
    <w:rsid w:val="00801ADA"/>
    <w:rsid w:val="00802EFA"/>
    <w:rsid w:val="00802FAB"/>
    <w:rsid w:val="008045C0"/>
    <w:rsid w:val="0080541B"/>
    <w:rsid w:val="00812ED7"/>
    <w:rsid w:val="00816FA9"/>
    <w:rsid w:val="00824006"/>
    <w:rsid w:val="00831434"/>
    <w:rsid w:val="00831C25"/>
    <w:rsid w:val="008352C3"/>
    <w:rsid w:val="0083586D"/>
    <w:rsid w:val="00837E2B"/>
    <w:rsid w:val="00846E6F"/>
    <w:rsid w:val="00846F98"/>
    <w:rsid w:val="00847724"/>
    <w:rsid w:val="00852F16"/>
    <w:rsid w:val="008541C3"/>
    <w:rsid w:val="00854639"/>
    <w:rsid w:val="00854C69"/>
    <w:rsid w:val="008558E1"/>
    <w:rsid w:val="00856B67"/>
    <w:rsid w:val="00861668"/>
    <w:rsid w:val="00861F30"/>
    <w:rsid w:val="00865403"/>
    <w:rsid w:val="008654E7"/>
    <w:rsid w:val="00865F99"/>
    <w:rsid w:val="008668EC"/>
    <w:rsid w:val="00872267"/>
    <w:rsid w:val="008819CB"/>
    <w:rsid w:val="00882761"/>
    <w:rsid w:val="0088358C"/>
    <w:rsid w:val="00885728"/>
    <w:rsid w:val="008865CF"/>
    <w:rsid w:val="0089105F"/>
    <w:rsid w:val="00892205"/>
    <w:rsid w:val="00893D51"/>
    <w:rsid w:val="008958D1"/>
    <w:rsid w:val="008A08C8"/>
    <w:rsid w:val="008A40B7"/>
    <w:rsid w:val="008A644B"/>
    <w:rsid w:val="008A67B5"/>
    <w:rsid w:val="008A6932"/>
    <w:rsid w:val="008B4DBE"/>
    <w:rsid w:val="008B7F4C"/>
    <w:rsid w:val="008C1989"/>
    <w:rsid w:val="008C7922"/>
    <w:rsid w:val="008D031A"/>
    <w:rsid w:val="008D3D19"/>
    <w:rsid w:val="008E43E8"/>
    <w:rsid w:val="008E67A0"/>
    <w:rsid w:val="008F0F86"/>
    <w:rsid w:val="008F43D5"/>
    <w:rsid w:val="008F51FE"/>
    <w:rsid w:val="008F521B"/>
    <w:rsid w:val="008F572D"/>
    <w:rsid w:val="008F5B4E"/>
    <w:rsid w:val="00900102"/>
    <w:rsid w:val="00902B38"/>
    <w:rsid w:val="00902E1E"/>
    <w:rsid w:val="00906D54"/>
    <w:rsid w:val="009074C4"/>
    <w:rsid w:val="0090762F"/>
    <w:rsid w:val="00907CCE"/>
    <w:rsid w:val="00911E13"/>
    <w:rsid w:val="009127CA"/>
    <w:rsid w:val="0092362C"/>
    <w:rsid w:val="00923C4C"/>
    <w:rsid w:val="009243E0"/>
    <w:rsid w:val="009317ED"/>
    <w:rsid w:val="00934BC6"/>
    <w:rsid w:val="009353FA"/>
    <w:rsid w:val="00944C05"/>
    <w:rsid w:val="00945D29"/>
    <w:rsid w:val="0094676C"/>
    <w:rsid w:val="00946861"/>
    <w:rsid w:val="00946C53"/>
    <w:rsid w:val="009528ED"/>
    <w:rsid w:val="009546DF"/>
    <w:rsid w:val="00955C6D"/>
    <w:rsid w:val="0095724A"/>
    <w:rsid w:val="009573C4"/>
    <w:rsid w:val="00957D6F"/>
    <w:rsid w:val="0096111F"/>
    <w:rsid w:val="00961783"/>
    <w:rsid w:val="009622AA"/>
    <w:rsid w:val="009659FD"/>
    <w:rsid w:val="00966825"/>
    <w:rsid w:val="00970E24"/>
    <w:rsid w:val="009718DD"/>
    <w:rsid w:val="00972402"/>
    <w:rsid w:val="00973CAF"/>
    <w:rsid w:val="00980155"/>
    <w:rsid w:val="009805F1"/>
    <w:rsid w:val="00983150"/>
    <w:rsid w:val="0098626B"/>
    <w:rsid w:val="00990B2D"/>
    <w:rsid w:val="00994EAC"/>
    <w:rsid w:val="00997991"/>
    <w:rsid w:val="009A0148"/>
    <w:rsid w:val="009A077C"/>
    <w:rsid w:val="009A361F"/>
    <w:rsid w:val="009B1DE8"/>
    <w:rsid w:val="009B5840"/>
    <w:rsid w:val="009C0EC2"/>
    <w:rsid w:val="009C1822"/>
    <w:rsid w:val="009C18CF"/>
    <w:rsid w:val="009C3884"/>
    <w:rsid w:val="009D4B7E"/>
    <w:rsid w:val="009E1188"/>
    <w:rsid w:val="009E264C"/>
    <w:rsid w:val="009E2792"/>
    <w:rsid w:val="009E7C05"/>
    <w:rsid w:val="009F1623"/>
    <w:rsid w:val="009F1F0B"/>
    <w:rsid w:val="009F4A06"/>
    <w:rsid w:val="009F4CC7"/>
    <w:rsid w:val="009F5115"/>
    <w:rsid w:val="009F5BAE"/>
    <w:rsid w:val="00A00AD9"/>
    <w:rsid w:val="00A0257A"/>
    <w:rsid w:val="00A067E1"/>
    <w:rsid w:val="00A06F4E"/>
    <w:rsid w:val="00A13F95"/>
    <w:rsid w:val="00A152E4"/>
    <w:rsid w:val="00A153CC"/>
    <w:rsid w:val="00A166F8"/>
    <w:rsid w:val="00A17487"/>
    <w:rsid w:val="00A204B6"/>
    <w:rsid w:val="00A22F27"/>
    <w:rsid w:val="00A256C0"/>
    <w:rsid w:val="00A26392"/>
    <w:rsid w:val="00A276F7"/>
    <w:rsid w:val="00A30A19"/>
    <w:rsid w:val="00A3494F"/>
    <w:rsid w:val="00A352A7"/>
    <w:rsid w:val="00A35E00"/>
    <w:rsid w:val="00A366FA"/>
    <w:rsid w:val="00A37FF0"/>
    <w:rsid w:val="00A417FF"/>
    <w:rsid w:val="00A44D17"/>
    <w:rsid w:val="00A45210"/>
    <w:rsid w:val="00A4749E"/>
    <w:rsid w:val="00A5430C"/>
    <w:rsid w:val="00A62AD3"/>
    <w:rsid w:val="00A63C0A"/>
    <w:rsid w:val="00A65052"/>
    <w:rsid w:val="00A67864"/>
    <w:rsid w:val="00A7449A"/>
    <w:rsid w:val="00A77C08"/>
    <w:rsid w:val="00A8060E"/>
    <w:rsid w:val="00A817D4"/>
    <w:rsid w:val="00A8699B"/>
    <w:rsid w:val="00A8768B"/>
    <w:rsid w:val="00A91882"/>
    <w:rsid w:val="00AA0F5D"/>
    <w:rsid w:val="00AA2A58"/>
    <w:rsid w:val="00AA4471"/>
    <w:rsid w:val="00AA5B63"/>
    <w:rsid w:val="00AB0FD1"/>
    <w:rsid w:val="00AB31F4"/>
    <w:rsid w:val="00AB7962"/>
    <w:rsid w:val="00AC0E46"/>
    <w:rsid w:val="00AC377C"/>
    <w:rsid w:val="00AC597C"/>
    <w:rsid w:val="00AC5ED3"/>
    <w:rsid w:val="00AC6ABE"/>
    <w:rsid w:val="00AD497D"/>
    <w:rsid w:val="00AD56AE"/>
    <w:rsid w:val="00AE0254"/>
    <w:rsid w:val="00AE5021"/>
    <w:rsid w:val="00AF1BAB"/>
    <w:rsid w:val="00AF38BD"/>
    <w:rsid w:val="00B05B80"/>
    <w:rsid w:val="00B10C24"/>
    <w:rsid w:val="00B11740"/>
    <w:rsid w:val="00B125F8"/>
    <w:rsid w:val="00B1260A"/>
    <w:rsid w:val="00B168E6"/>
    <w:rsid w:val="00B200F6"/>
    <w:rsid w:val="00B21614"/>
    <w:rsid w:val="00B241AC"/>
    <w:rsid w:val="00B24499"/>
    <w:rsid w:val="00B26633"/>
    <w:rsid w:val="00B26741"/>
    <w:rsid w:val="00B3075E"/>
    <w:rsid w:val="00B3317B"/>
    <w:rsid w:val="00B35290"/>
    <w:rsid w:val="00B366AD"/>
    <w:rsid w:val="00B37545"/>
    <w:rsid w:val="00B40CEE"/>
    <w:rsid w:val="00B56AC5"/>
    <w:rsid w:val="00B576E7"/>
    <w:rsid w:val="00B60C61"/>
    <w:rsid w:val="00B62D1E"/>
    <w:rsid w:val="00B65121"/>
    <w:rsid w:val="00B66294"/>
    <w:rsid w:val="00B670DF"/>
    <w:rsid w:val="00B71152"/>
    <w:rsid w:val="00B76FDF"/>
    <w:rsid w:val="00B77B0F"/>
    <w:rsid w:val="00B81132"/>
    <w:rsid w:val="00B83D7D"/>
    <w:rsid w:val="00B87AF9"/>
    <w:rsid w:val="00B9166C"/>
    <w:rsid w:val="00B95710"/>
    <w:rsid w:val="00B959CF"/>
    <w:rsid w:val="00B97380"/>
    <w:rsid w:val="00BA041B"/>
    <w:rsid w:val="00BA5FDA"/>
    <w:rsid w:val="00BB2D4B"/>
    <w:rsid w:val="00BB5B6A"/>
    <w:rsid w:val="00BB685E"/>
    <w:rsid w:val="00BC0922"/>
    <w:rsid w:val="00BC1E0C"/>
    <w:rsid w:val="00BC4F2B"/>
    <w:rsid w:val="00BC76B1"/>
    <w:rsid w:val="00BD0B40"/>
    <w:rsid w:val="00BD2799"/>
    <w:rsid w:val="00BD67B4"/>
    <w:rsid w:val="00BE0222"/>
    <w:rsid w:val="00BE0D3E"/>
    <w:rsid w:val="00BE1273"/>
    <w:rsid w:val="00BE1CA8"/>
    <w:rsid w:val="00BF0ABA"/>
    <w:rsid w:val="00BF1469"/>
    <w:rsid w:val="00BF1F79"/>
    <w:rsid w:val="00BF4210"/>
    <w:rsid w:val="00BF59FC"/>
    <w:rsid w:val="00BF757B"/>
    <w:rsid w:val="00BF75B9"/>
    <w:rsid w:val="00C00E81"/>
    <w:rsid w:val="00C016FA"/>
    <w:rsid w:val="00C03097"/>
    <w:rsid w:val="00C0359E"/>
    <w:rsid w:val="00C0462D"/>
    <w:rsid w:val="00C04988"/>
    <w:rsid w:val="00C04C71"/>
    <w:rsid w:val="00C07AB3"/>
    <w:rsid w:val="00C10960"/>
    <w:rsid w:val="00C15E11"/>
    <w:rsid w:val="00C164F6"/>
    <w:rsid w:val="00C23FDD"/>
    <w:rsid w:val="00C269EC"/>
    <w:rsid w:val="00C3045C"/>
    <w:rsid w:val="00C30DB0"/>
    <w:rsid w:val="00C33228"/>
    <w:rsid w:val="00C3417B"/>
    <w:rsid w:val="00C370C0"/>
    <w:rsid w:val="00C414DD"/>
    <w:rsid w:val="00C4518D"/>
    <w:rsid w:val="00C47598"/>
    <w:rsid w:val="00C476AF"/>
    <w:rsid w:val="00C47913"/>
    <w:rsid w:val="00C47E05"/>
    <w:rsid w:val="00C52EA0"/>
    <w:rsid w:val="00C54134"/>
    <w:rsid w:val="00C55AE2"/>
    <w:rsid w:val="00C57EE1"/>
    <w:rsid w:val="00C61B09"/>
    <w:rsid w:val="00C63096"/>
    <w:rsid w:val="00C6619B"/>
    <w:rsid w:val="00C677F9"/>
    <w:rsid w:val="00C70A44"/>
    <w:rsid w:val="00C70C00"/>
    <w:rsid w:val="00C71B60"/>
    <w:rsid w:val="00C748E6"/>
    <w:rsid w:val="00C74E2A"/>
    <w:rsid w:val="00C754EF"/>
    <w:rsid w:val="00C81F70"/>
    <w:rsid w:val="00C82D0E"/>
    <w:rsid w:val="00C82F03"/>
    <w:rsid w:val="00C84340"/>
    <w:rsid w:val="00C85540"/>
    <w:rsid w:val="00C85BA5"/>
    <w:rsid w:val="00C86FCE"/>
    <w:rsid w:val="00CA18A4"/>
    <w:rsid w:val="00CA3F92"/>
    <w:rsid w:val="00CA5A15"/>
    <w:rsid w:val="00CA7160"/>
    <w:rsid w:val="00CA7871"/>
    <w:rsid w:val="00CB10DF"/>
    <w:rsid w:val="00CB1B38"/>
    <w:rsid w:val="00CC477B"/>
    <w:rsid w:val="00CC622F"/>
    <w:rsid w:val="00CD0BF5"/>
    <w:rsid w:val="00CD0F72"/>
    <w:rsid w:val="00CD50ED"/>
    <w:rsid w:val="00CD6B6B"/>
    <w:rsid w:val="00CD6E4E"/>
    <w:rsid w:val="00CD7F05"/>
    <w:rsid w:val="00CE3AC4"/>
    <w:rsid w:val="00CE47B4"/>
    <w:rsid w:val="00CF446E"/>
    <w:rsid w:val="00CF5261"/>
    <w:rsid w:val="00CF6F22"/>
    <w:rsid w:val="00CF7BD4"/>
    <w:rsid w:val="00CF7C39"/>
    <w:rsid w:val="00CF7E09"/>
    <w:rsid w:val="00D07564"/>
    <w:rsid w:val="00D17DE6"/>
    <w:rsid w:val="00D20770"/>
    <w:rsid w:val="00D22498"/>
    <w:rsid w:val="00D232F9"/>
    <w:rsid w:val="00D23CFC"/>
    <w:rsid w:val="00D26E91"/>
    <w:rsid w:val="00D27A3C"/>
    <w:rsid w:val="00D311EE"/>
    <w:rsid w:val="00D31D1E"/>
    <w:rsid w:val="00D32728"/>
    <w:rsid w:val="00D3299A"/>
    <w:rsid w:val="00D3303A"/>
    <w:rsid w:val="00D34FF1"/>
    <w:rsid w:val="00D410F1"/>
    <w:rsid w:val="00D444F3"/>
    <w:rsid w:val="00D45B23"/>
    <w:rsid w:val="00D5038A"/>
    <w:rsid w:val="00D50624"/>
    <w:rsid w:val="00D5402C"/>
    <w:rsid w:val="00D55F7D"/>
    <w:rsid w:val="00D5735B"/>
    <w:rsid w:val="00D57779"/>
    <w:rsid w:val="00D57B69"/>
    <w:rsid w:val="00D63693"/>
    <w:rsid w:val="00D721CC"/>
    <w:rsid w:val="00D721F6"/>
    <w:rsid w:val="00D748F0"/>
    <w:rsid w:val="00D7626F"/>
    <w:rsid w:val="00D80F38"/>
    <w:rsid w:val="00D826D0"/>
    <w:rsid w:val="00D86CFB"/>
    <w:rsid w:val="00D86F56"/>
    <w:rsid w:val="00D90A5E"/>
    <w:rsid w:val="00D949D1"/>
    <w:rsid w:val="00DA25B7"/>
    <w:rsid w:val="00DA346A"/>
    <w:rsid w:val="00DA5685"/>
    <w:rsid w:val="00DA762E"/>
    <w:rsid w:val="00DB122C"/>
    <w:rsid w:val="00DB18C3"/>
    <w:rsid w:val="00DB5D21"/>
    <w:rsid w:val="00DB729D"/>
    <w:rsid w:val="00DC26AC"/>
    <w:rsid w:val="00DC40AF"/>
    <w:rsid w:val="00DC6640"/>
    <w:rsid w:val="00DC77F2"/>
    <w:rsid w:val="00DD0811"/>
    <w:rsid w:val="00DD4485"/>
    <w:rsid w:val="00DD4E67"/>
    <w:rsid w:val="00DD5CDF"/>
    <w:rsid w:val="00DE3D60"/>
    <w:rsid w:val="00DE4964"/>
    <w:rsid w:val="00DE6FFE"/>
    <w:rsid w:val="00DF01E3"/>
    <w:rsid w:val="00DF1443"/>
    <w:rsid w:val="00DF2E0B"/>
    <w:rsid w:val="00DF4A48"/>
    <w:rsid w:val="00E02062"/>
    <w:rsid w:val="00E03E22"/>
    <w:rsid w:val="00E04476"/>
    <w:rsid w:val="00E112A5"/>
    <w:rsid w:val="00E11536"/>
    <w:rsid w:val="00E11B60"/>
    <w:rsid w:val="00E12AB6"/>
    <w:rsid w:val="00E15589"/>
    <w:rsid w:val="00E15626"/>
    <w:rsid w:val="00E20A4C"/>
    <w:rsid w:val="00E21800"/>
    <w:rsid w:val="00E266C7"/>
    <w:rsid w:val="00E32395"/>
    <w:rsid w:val="00E33BAF"/>
    <w:rsid w:val="00E33E8B"/>
    <w:rsid w:val="00E34469"/>
    <w:rsid w:val="00E40B3F"/>
    <w:rsid w:val="00E438DC"/>
    <w:rsid w:val="00E45BEE"/>
    <w:rsid w:val="00E51B73"/>
    <w:rsid w:val="00E52DD2"/>
    <w:rsid w:val="00E54C15"/>
    <w:rsid w:val="00E56D0D"/>
    <w:rsid w:val="00E6474F"/>
    <w:rsid w:val="00E649F6"/>
    <w:rsid w:val="00E71166"/>
    <w:rsid w:val="00E7149B"/>
    <w:rsid w:val="00E716CD"/>
    <w:rsid w:val="00E71EE9"/>
    <w:rsid w:val="00E725A3"/>
    <w:rsid w:val="00E74993"/>
    <w:rsid w:val="00E80529"/>
    <w:rsid w:val="00E81784"/>
    <w:rsid w:val="00E8310A"/>
    <w:rsid w:val="00E83A03"/>
    <w:rsid w:val="00E85FC8"/>
    <w:rsid w:val="00E86DAC"/>
    <w:rsid w:val="00E91C41"/>
    <w:rsid w:val="00E9232E"/>
    <w:rsid w:val="00E95C7C"/>
    <w:rsid w:val="00EA33AC"/>
    <w:rsid w:val="00EA7581"/>
    <w:rsid w:val="00EB12C2"/>
    <w:rsid w:val="00EB462F"/>
    <w:rsid w:val="00EB624F"/>
    <w:rsid w:val="00EB7749"/>
    <w:rsid w:val="00EB7D0C"/>
    <w:rsid w:val="00EC012C"/>
    <w:rsid w:val="00EC2DA7"/>
    <w:rsid w:val="00EC3A09"/>
    <w:rsid w:val="00EC4A6C"/>
    <w:rsid w:val="00EC4C57"/>
    <w:rsid w:val="00EC7A60"/>
    <w:rsid w:val="00ED1EB5"/>
    <w:rsid w:val="00ED56DF"/>
    <w:rsid w:val="00ED5C3E"/>
    <w:rsid w:val="00EE1CA0"/>
    <w:rsid w:val="00EE4422"/>
    <w:rsid w:val="00EE4880"/>
    <w:rsid w:val="00EE760A"/>
    <w:rsid w:val="00EF015F"/>
    <w:rsid w:val="00EF18A2"/>
    <w:rsid w:val="00EF1FBC"/>
    <w:rsid w:val="00EF2D12"/>
    <w:rsid w:val="00EF6324"/>
    <w:rsid w:val="00EF7815"/>
    <w:rsid w:val="00F00FD7"/>
    <w:rsid w:val="00F02C19"/>
    <w:rsid w:val="00F04C56"/>
    <w:rsid w:val="00F04F93"/>
    <w:rsid w:val="00F0651E"/>
    <w:rsid w:val="00F11A4C"/>
    <w:rsid w:val="00F15C3A"/>
    <w:rsid w:val="00F17553"/>
    <w:rsid w:val="00F2105B"/>
    <w:rsid w:val="00F2502F"/>
    <w:rsid w:val="00F26FB1"/>
    <w:rsid w:val="00F2774B"/>
    <w:rsid w:val="00F311D8"/>
    <w:rsid w:val="00F34C2C"/>
    <w:rsid w:val="00F36A5B"/>
    <w:rsid w:val="00F42AC9"/>
    <w:rsid w:val="00F44C2B"/>
    <w:rsid w:val="00F4515B"/>
    <w:rsid w:val="00F45A42"/>
    <w:rsid w:val="00F508B0"/>
    <w:rsid w:val="00F51A8F"/>
    <w:rsid w:val="00F5350A"/>
    <w:rsid w:val="00F54573"/>
    <w:rsid w:val="00F54D26"/>
    <w:rsid w:val="00F564D3"/>
    <w:rsid w:val="00F60B73"/>
    <w:rsid w:val="00F626EC"/>
    <w:rsid w:val="00F722E6"/>
    <w:rsid w:val="00F73E02"/>
    <w:rsid w:val="00F76A7D"/>
    <w:rsid w:val="00F76F4F"/>
    <w:rsid w:val="00F8104E"/>
    <w:rsid w:val="00F82112"/>
    <w:rsid w:val="00F8659E"/>
    <w:rsid w:val="00F86C93"/>
    <w:rsid w:val="00F9206F"/>
    <w:rsid w:val="00F94F14"/>
    <w:rsid w:val="00F95148"/>
    <w:rsid w:val="00F96621"/>
    <w:rsid w:val="00F9742F"/>
    <w:rsid w:val="00FA0996"/>
    <w:rsid w:val="00FA09D0"/>
    <w:rsid w:val="00FA0DC3"/>
    <w:rsid w:val="00FA2678"/>
    <w:rsid w:val="00FA4CCA"/>
    <w:rsid w:val="00FA552D"/>
    <w:rsid w:val="00FA56AC"/>
    <w:rsid w:val="00FA5B73"/>
    <w:rsid w:val="00FA7301"/>
    <w:rsid w:val="00FA7323"/>
    <w:rsid w:val="00FB044C"/>
    <w:rsid w:val="00FB4396"/>
    <w:rsid w:val="00FB4F46"/>
    <w:rsid w:val="00FB7327"/>
    <w:rsid w:val="00FB7597"/>
    <w:rsid w:val="00FC62D2"/>
    <w:rsid w:val="00FD134E"/>
    <w:rsid w:val="00FD33BC"/>
    <w:rsid w:val="00FD48E0"/>
    <w:rsid w:val="00FD6612"/>
    <w:rsid w:val="00FE0176"/>
    <w:rsid w:val="00FE08E6"/>
    <w:rsid w:val="00FE19D7"/>
    <w:rsid w:val="00FE20A8"/>
    <w:rsid w:val="00FE2F61"/>
    <w:rsid w:val="00FE3545"/>
    <w:rsid w:val="00FE5180"/>
    <w:rsid w:val="00FE6BD6"/>
    <w:rsid w:val="00FE6F5B"/>
    <w:rsid w:val="00FF01E1"/>
    <w:rsid w:val="00FF1E0C"/>
    <w:rsid w:val="00FF2E9E"/>
    <w:rsid w:val="00FF3531"/>
    <w:rsid w:val="00FF7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96747"/>
  <w15:docId w15:val="{E1DA7061-A83A-43D1-BCE7-F524456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5F"/>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324"/>
    <w:pPr>
      <w:ind w:left="720"/>
      <w:contextualSpacing/>
    </w:pPr>
  </w:style>
  <w:style w:type="paragraph" w:styleId="BalloonText">
    <w:name w:val="Balloon Text"/>
    <w:basedOn w:val="Normal"/>
    <w:link w:val="BalloonTextChar"/>
    <w:rsid w:val="00085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56A2"/>
    <w:rPr>
      <w:rFonts w:ascii="Tahoma" w:hAnsi="Tahoma" w:cs="Tahoma"/>
      <w:sz w:val="16"/>
      <w:szCs w:val="16"/>
      <w:lang w:eastAsia="en-US"/>
    </w:rPr>
  </w:style>
  <w:style w:type="table" w:styleId="TableGrid">
    <w:name w:val="Table Grid"/>
    <w:basedOn w:val="TableNormal"/>
    <w:uiPriority w:val="39"/>
    <w:rsid w:val="001C69D1"/>
    <w:rPr>
      <w:rFonts w:ascii="Verdana" w:eastAsiaTheme="minorHAnsi" w:hAnsi="Verdana"/>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69D1"/>
    <w:pPr>
      <w:tabs>
        <w:tab w:val="center" w:pos="4513"/>
        <w:tab w:val="right" w:pos="9026"/>
      </w:tabs>
      <w:spacing w:after="0" w:line="240" w:lineRule="auto"/>
    </w:pPr>
  </w:style>
  <w:style w:type="character" w:customStyle="1" w:styleId="HeaderChar">
    <w:name w:val="Header Char"/>
    <w:basedOn w:val="DefaultParagraphFont"/>
    <w:link w:val="Header"/>
    <w:rsid w:val="001C69D1"/>
    <w:rPr>
      <w:rFonts w:ascii="Calibri" w:hAnsi="Calibri"/>
      <w:sz w:val="22"/>
      <w:szCs w:val="22"/>
      <w:lang w:eastAsia="en-US"/>
    </w:rPr>
  </w:style>
  <w:style w:type="paragraph" w:styleId="Footer">
    <w:name w:val="footer"/>
    <w:basedOn w:val="Normal"/>
    <w:link w:val="FooterChar"/>
    <w:uiPriority w:val="99"/>
    <w:rsid w:val="001C6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D1"/>
    <w:rPr>
      <w:rFonts w:ascii="Calibri" w:hAnsi="Calibri"/>
      <w:sz w:val="22"/>
      <w:szCs w:val="22"/>
      <w:lang w:eastAsia="en-US"/>
    </w:rPr>
  </w:style>
  <w:style w:type="character" w:styleId="Hyperlink">
    <w:name w:val="Hyperlink"/>
    <w:basedOn w:val="DefaultParagraphFont"/>
    <w:uiPriority w:val="99"/>
    <w:rsid w:val="000808BC"/>
    <w:rPr>
      <w:color w:val="0000FF" w:themeColor="hyperlink"/>
      <w:u w:val="single"/>
    </w:rPr>
  </w:style>
  <w:style w:type="character" w:styleId="FollowedHyperlink">
    <w:name w:val="FollowedHyperlink"/>
    <w:aliases w:val="FollowedHyperlinkd1"/>
    <w:basedOn w:val="DefaultParagraphFont"/>
    <w:qFormat/>
    <w:rsid w:val="00010489"/>
    <w:rPr>
      <w:color w:val="808080" w:themeColor="background1" w:themeShade="80"/>
      <w:u w:val="single"/>
    </w:rPr>
  </w:style>
  <w:style w:type="paragraph" w:styleId="FootnoteText">
    <w:name w:val="footnote text"/>
    <w:basedOn w:val="Normal"/>
    <w:link w:val="FootnoteTextChar"/>
    <w:uiPriority w:val="99"/>
    <w:rsid w:val="007E1D24"/>
    <w:pPr>
      <w:spacing w:after="0" w:line="240" w:lineRule="auto"/>
    </w:pPr>
    <w:rPr>
      <w:sz w:val="20"/>
      <w:szCs w:val="20"/>
    </w:rPr>
  </w:style>
  <w:style w:type="character" w:customStyle="1" w:styleId="FootnoteTextChar">
    <w:name w:val="Footnote Text Char"/>
    <w:basedOn w:val="DefaultParagraphFont"/>
    <w:link w:val="FootnoteText"/>
    <w:uiPriority w:val="99"/>
    <w:rsid w:val="007E1D24"/>
    <w:rPr>
      <w:rFonts w:ascii="Calibri" w:hAnsi="Calibri"/>
      <w:lang w:eastAsia="en-US"/>
    </w:rPr>
  </w:style>
  <w:style w:type="character" w:styleId="FootnoteReference">
    <w:name w:val="footnote reference"/>
    <w:basedOn w:val="DefaultParagraphFont"/>
    <w:uiPriority w:val="99"/>
    <w:rsid w:val="007E1D24"/>
    <w:rPr>
      <w:vertAlign w:val="superscript"/>
    </w:rPr>
  </w:style>
  <w:style w:type="paragraph" w:customStyle="1" w:styleId="Diagram1">
    <w:name w:val="Diagram1"/>
    <w:basedOn w:val="Normal"/>
    <w:link w:val="Diagram1Char"/>
    <w:qFormat/>
    <w:rsid w:val="000678A5"/>
    <w:pPr>
      <w:jc w:val="center"/>
    </w:pPr>
    <w:rPr>
      <w:rFonts w:ascii="Gill Sans MT" w:hAnsi="Gill Sans MT"/>
      <w:b/>
      <w:color w:val="FF0000"/>
      <w:sz w:val="52"/>
      <w:szCs w:val="52"/>
    </w:rPr>
  </w:style>
  <w:style w:type="paragraph" w:customStyle="1" w:styleId="Diagram2">
    <w:name w:val="Diagram2"/>
    <w:basedOn w:val="Normal"/>
    <w:link w:val="Diagram2Char"/>
    <w:qFormat/>
    <w:rsid w:val="000678A5"/>
    <w:pPr>
      <w:jc w:val="center"/>
    </w:pPr>
    <w:rPr>
      <w:rFonts w:ascii="Gill Sans MT" w:hAnsi="Gill Sans MT"/>
      <w:b/>
      <w:color w:val="4F81BD" w:themeColor="accent1"/>
      <w:sz w:val="52"/>
      <w:szCs w:val="52"/>
    </w:rPr>
  </w:style>
  <w:style w:type="character" w:customStyle="1" w:styleId="Diagram1Char">
    <w:name w:val="Diagram1 Char"/>
    <w:basedOn w:val="DefaultParagraphFont"/>
    <w:link w:val="Diagram1"/>
    <w:rsid w:val="000678A5"/>
    <w:rPr>
      <w:rFonts w:ascii="Gill Sans MT" w:hAnsi="Gill Sans MT"/>
      <w:b/>
      <w:color w:val="FF0000"/>
      <w:sz w:val="52"/>
      <w:szCs w:val="52"/>
      <w:lang w:eastAsia="en-US"/>
    </w:rPr>
  </w:style>
  <w:style w:type="paragraph" w:customStyle="1" w:styleId="Diagram3">
    <w:name w:val="Diagram3"/>
    <w:basedOn w:val="Normal"/>
    <w:link w:val="Diagram3Char"/>
    <w:qFormat/>
    <w:rsid w:val="000678A5"/>
    <w:pPr>
      <w:jc w:val="center"/>
    </w:pPr>
    <w:rPr>
      <w:rFonts w:ascii="Gill Sans MT" w:hAnsi="Gill Sans MT"/>
      <w:b/>
      <w:color w:val="F79646" w:themeColor="accent6"/>
      <w:sz w:val="52"/>
      <w:szCs w:val="52"/>
    </w:rPr>
  </w:style>
  <w:style w:type="character" w:customStyle="1" w:styleId="Diagram2Char">
    <w:name w:val="Diagram2 Char"/>
    <w:basedOn w:val="DefaultParagraphFont"/>
    <w:link w:val="Diagram2"/>
    <w:rsid w:val="000678A5"/>
    <w:rPr>
      <w:rFonts w:ascii="Gill Sans MT" w:hAnsi="Gill Sans MT"/>
      <w:b/>
      <w:color w:val="4F81BD" w:themeColor="accent1"/>
      <w:sz w:val="52"/>
      <w:szCs w:val="52"/>
      <w:lang w:eastAsia="en-US"/>
    </w:rPr>
  </w:style>
  <w:style w:type="paragraph" w:customStyle="1" w:styleId="Diagram4">
    <w:name w:val="Diagram4"/>
    <w:basedOn w:val="Normal"/>
    <w:link w:val="Diagram4Char"/>
    <w:qFormat/>
    <w:rsid w:val="000678A5"/>
    <w:pPr>
      <w:jc w:val="center"/>
    </w:pPr>
    <w:rPr>
      <w:rFonts w:ascii="Gill Sans MT" w:hAnsi="Gill Sans MT"/>
      <w:b/>
      <w:color w:val="00B050"/>
      <w:sz w:val="52"/>
      <w:szCs w:val="52"/>
    </w:rPr>
  </w:style>
  <w:style w:type="character" w:customStyle="1" w:styleId="Diagram3Char">
    <w:name w:val="Diagram3 Char"/>
    <w:basedOn w:val="DefaultParagraphFont"/>
    <w:link w:val="Diagram3"/>
    <w:rsid w:val="000678A5"/>
    <w:rPr>
      <w:rFonts w:ascii="Gill Sans MT" w:hAnsi="Gill Sans MT"/>
      <w:b/>
      <w:color w:val="F79646" w:themeColor="accent6"/>
      <w:sz w:val="52"/>
      <w:szCs w:val="52"/>
      <w:lang w:eastAsia="en-US"/>
    </w:rPr>
  </w:style>
  <w:style w:type="paragraph" w:customStyle="1" w:styleId="Diagram5">
    <w:name w:val="Diagram5"/>
    <w:basedOn w:val="Normal"/>
    <w:link w:val="Diagram5Char"/>
    <w:qFormat/>
    <w:rsid w:val="000678A5"/>
    <w:pPr>
      <w:jc w:val="center"/>
    </w:pPr>
    <w:rPr>
      <w:rFonts w:ascii="Gill Sans MT" w:hAnsi="Gill Sans MT"/>
      <w:b/>
      <w:sz w:val="52"/>
      <w:szCs w:val="52"/>
    </w:rPr>
  </w:style>
  <w:style w:type="character" w:customStyle="1" w:styleId="Diagram4Char">
    <w:name w:val="Diagram4 Char"/>
    <w:basedOn w:val="DefaultParagraphFont"/>
    <w:link w:val="Diagram4"/>
    <w:rsid w:val="000678A5"/>
    <w:rPr>
      <w:rFonts w:ascii="Gill Sans MT" w:hAnsi="Gill Sans MT"/>
      <w:b/>
      <w:color w:val="00B050"/>
      <w:sz w:val="52"/>
      <w:szCs w:val="52"/>
      <w:lang w:eastAsia="en-US"/>
    </w:rPr>
  </w:style>
  <w:style w:type="paragraph" w:styleId="Quote">
    <w:name w:val="Quote"/>
    <w:basedOn w:val="Normal"/>
    <w:next w:val="Normal"/>
    <w:link w:val="QuoteChar"/>
    <w:uiPriority w:val="29"/>
    <w:qFormat/>
    <w:rsid w:val="002062A1"/>
    <w:rPr>
      <w:rFonts w:asciiTheme="minorHAnsi" w:eastAsiaTheme="minorEastAsia" w:hAnsiTheme="minorHAnsi" w:cstheme="minorBidi"/>
      <w:i/>
      <w:iCs/>
      <w:color w:val="000000" w:themeColor="text1"/>
      <w:lang w:val="en-US" w:eastAsia="ja-JP"/>
    </w:rPr>
  </w:style>
  <w:style w:type="character" w:customStyle="1" w:styleId="Diagram5Char">
    <w:name w:val="Diagram5 Char"/>
    <w:basedOn w:val="DefaultParagraphFont"/>
    <w:link w:val="Diagram5"/>
    <w:rsid w:val="000678A5"/>
    <w:rPr>
      <w:rFonts w:ascii="Gill Sans MT" w:hAnsi="Gill Sans MT"/>
      <w:b/>
      <w:sz w:val="52"/>
      <w:szCs w:val="52"/>
      <w:lang w:eastAsia="en-US"/>
    </w:rPr>
  </w:style>
  <w:style w:type="character" w:customStyle="1" w:styleId="QuoteChar">
    <w:name w:val="Quote Char"/>
    <w:basedOn w:val="DefaultParagraphFont"/>
    <w:link w:val="Quote"/>
    <w:uiPriority w:val="29"/>
    <w:rsid w:val="002062A1"/>
    <w:rPr>
      <w:rFonts w:asciiTheme="minorHAnsi" w:eastAsiaTheme="minorEastAsia" w:hAnsiTheme="minorHAnsi" w:cstheme="minorBidi"/>
      <w:i/>
      <w:iCs/>
      <w:color w:val="000000" w:themeColor="text1"/>
      <w:sz w:val="22"/>
      <w:szCs w:val="22"/>
      <w:lang w:val="en-US" w:eastAsia="ja-JP"/>
    </w:rPr>
  </w:style>
  <w:style w:type="paragraph" w:styleId="EndnoteText">
    <w:name w:val="endnote text"/>
    <w:basedOn w:val="Normal"/>
    <w:link w:val="EndnoteTextChar"/>
    <w:rsid w:val="006B317E"/>
    <w:pPr>
      <w:spacing w:after="0" w:line="240" w:lineRule="auto"/>
    </w:pPr>
    <w:rPr>
      <w:sz w:val="20"/>
      <w:szCs w:val="20"/>
    </w:rPr>
  </w:style>
  <w:style w:type="character" w:customStyle="1" w:styleId="EndnoteTextChar">
    <w:name w:val="Endnote Text Char"/>
    <w:basedOn w:val="DefaultParagraphFont"/>
    <w:link w:val="EndnoteText"/>
    <w:rsid w:val="006B317E"/>
    <w:rPr>
      <w:rFonts w:ascii="Calibri" w:hAnsi="Calibri"/>
      <w:lang w:eastAsia="en-US"/>
    </w:rPr>
  </w:style>
  <w:style w:type="character" w:styleId="EndnoteReference">
    <w:name w:val="endnote reference"/>
    <w:basedOn w:val="DefaultParagraphFont"/>
    <w:uiPriority w:val="99"/>
    <w:rsid w:val="006B317E"/>
    <w:rPr>
      <w:vertAlign w:val="superscript"/>
    </w:rPr>
  </w:style>
  <w:style w:type="paragraph" w:customStyle="1" w:styleId="Default">
    <w:name w:val="Default"/>
    <w:rsid w:val="00FF3531"/>
    <w:pPr>
      <w:autoSpaceDE w:val="0"/>
      <w:autoSpaceDN w:val="0"/>
      <w:adjustRightInd w:val="0"/>
    </w:pPr>
    <w:rPr>
      <w:rFonts w:ascii="Verdana" w:hAnsi="Verdana" w:cs="Verdana"/>
      <w:color w:val="000000"/>
      <w:sz w:val="24"/>
      <w:szCs w:val="24"/>
    </w:rPr>
  </w:style>
  <w:style w:type="table" w:customStyle="1" w:styleId="TableGrid1">
    <w:name w:val="Table Grid1"/>
    <w:basedOn w:val="TableNormal"/>
    <w:next w:val="TableGrid"/>
    <w:uiPriority w:val="39"/>
    <w:rsid w:val="00125D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42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49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7A8E"/>
    <w:rPr>
      <w:sz w:val="18"/>
      <w:szCs w:val="18"/>
    </w:rPr>
  </w:style>
  <w:style w:type="paragraph" w:styleId="CommentText">
    <w:name w:val="annotation text"/>
    <w:basedOn w:val="Normal"/>
    <w:link w:val="CommentTextChar"/>
    <w:uiPriority w:val="99"/>
    <w:unhideWhenUsed/>
    <w:rsid w:val="0045124A"/>
    <w:pPr>
      <w:spacing w:line="240" w:lineRule="auto"/>
    </w:pPr>
    <w:rPr>
      <w:sz w:val="20"/>
      <w:szCs w:val="20"/>
    </w:rPr>
  </w:style>
  <w:style w:type="character" w:customStyle="1" w:styleId="CommentTextChar">
    <w:name w:val="Comment Text Char"/>
    <w:basedOn w:val="DefaultParagraphFont"/>
    <w:link w:val="CommentText"/>
    <w:uiPriority w:val="99"/>
    <w:rsid w:val="0045124A"/>
    <w:rPr>
      <w:rFonts w:ascii="Calibri" w:hAnsi="Calibri"/>
      <w:lang w:eastAsia="en-US"/>
    </w:rPr>
  </w:style>
  <w:style w:type="paragraph" w:styleId="CommentSubject">
    <w:name w:val="annotation subject"/>
    <w:basedOn w:val="CommentText"/>
    <w:next w:val="CommentText"/>
    <w:link w:val="CommentSubjectChar"/>
    <w:semiHidden/>
    <w:unhideWhenUsed/>
    <w:rsid w:val="0045124A"/>
    <w:rPr>
      <w:b/>
      <w:bCs/>
    </w:rPr>
  </w:style>
  <w:style w:type="character" w:customStyle="1" w:styleId="CommentSubjectChar">
    <w:name w:val="Comment Subject Char"/>
    <w:basedOn w:val="CommentTextChar"/>
    <w:link w:val="CommentSubject"/>
    <w:semiHidden/>
    <w:rsid w:val="0045124A"/>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17B8B50F3B14692F9C229BA8D711C" ma:contentTypeVersion="0" ma:contentTypeDescription="Create a new document." ma:contentTypeScope="" ma:versionID="65180b6729bcd5043df28a3189aa83d6">
  <xsd:schema xmlns:xsd="http://www.w3.org/2001/XMLSchema" xmlns:xs="http://www.w3.org/2001/XMLSchema" xmlns:p="http://schemas.microsoft.com/office/2006/metadata/properties" targetNamespace="http://schemas.microsoft.com/office/2006/metadata/properties" ma:root="true" ma:fieldsID="cebed0239de6a3002c7a69b7f19c39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DD65-9BFF-4B30-80B1-EA2389B32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82E14F-F9AE-4A1F-84CD-71D018A9799E}">
  <ds:schemaRefs>
    <ds:schemaRef ds:uri="http://schemas.microsoft.com/sharepoint/v3/contenttype/forms"/>
  </ds:schemaRefs>
</ds:datastoreItem>
</file>

<file path=customXml/itemProps3.xml><?xml version="1.0" encoding="utf-8"?>
<ds:datastoreItem xmlns:ds="http://schemas.openxmlformats.org/officeDocument/2006/customXml" ds:itemID="{9B98F0A3-01E2-4A9D-A8CB-A97C54177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A929B2-7186-4131-A35F-DFCCCAC9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ELIR – All 4 years</vt:lpstr>
    </vt:vector>
  </TitlesOfParts>
  <Company>NUS Services Ltd</Company>
  <LinksUpToDate>false</LinksUpToDate>
  <CharactersWithSpaces>19457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ELIR – All 4 years</dc:title>
  <dc:subject/>
  <dc:creator>NUSORG</dc:creator>
  <cp:keywords/>
  <dc:description/>
  <cp:lastModifiedBy>Ali McDade</cp:lastModifiedBy>
  <cp:revision>2</cp:revision>
  <cp:lastPrinted>2018-11-28T18:23:00Z</cp:lastPrinted>
  <dcterms:created xsi:type="dcterms:W3CDTF">2018-11-28T18:31:00Z</dcterms:created>
  <dcterms:modified xsi:type="dcterms:W3CDTF">2018-11-28T18:31:00Z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0x010100DB017B8B50F3B14692F9C229BA8D711C</vt:lpwstr>
  </property>
  <property fmtid="{D5CDD505-2E9C-101B-9397-08002B2CF9AE}" pid="3" name="IsMyDocuments">
    <vt:bool>true</vt:bool>
  </property>
</Properties>
</file>